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6480"/>
        <w:gridCol w:w="1440"/>
        <w:gridCol w:w="1440"/>
      </w:tblGrid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666CC" w:rsidRPr="006D17A1" w:rsidRDefault="006666CC" w:rsidP="00E21C5A">
            <w:p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  <w:lang w:val="en-CA"/>
              </w:rPr>
              <w:fldChar w:fldCharType="begin"/>
            </w:r>
            <w:r w:rsidRPr="006D17A1">
              <w:rPr>
                <w:rFonts w:ascii="Times New Roman" w:hAnsi="Times New Roman" w:cs="Times New Roman"/>
                <w:lang w:val="en-CA"/>
              </w:rPr>
              <w:instrText xml:space="preserve"> SEQ CHAPTER \h \r 1</w:instrText>
            </w:r>
            <w:r w:rsidRPr="006D17A1">
              <w:rPr>
                <w:rFonts w:ascii="Times New Roman" w:hAnsi="Times New Roman" w:cs="Times New Roman"/>
                <w:lang w:val="en-CA"/>
              </w:rPr>
              <w:fldChar w:fldCharType="end"/>
            </w:r>
            <w:r w:rsidRPr="006D17A1">
              <w:rPr>
                <w:rFonts w:ascii="Times New Roman" w:hAnsi="Times New Roman" w:cs="Times New Roman"/>
                <w:b/>
                <w:bCs/>
              </w:rPr>
              <w:t>Rule Requirements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6CC" w:rsidRPr="006D17A1" w:rsidRDefault="006666CC" w:rsidP="00E21C5A">
            <w:p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  <w:b/>
                <w:bCs/>
              </w:rPr>
              <w:t>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6CC" w:rsidRPr="006D17A1" w:rsidRDefault="006666CC" w:rsidP="00E21C5A">
            <w:p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  <w:b/>
                <w:bCs/>
              </w:rPr>
              <w:t>EIS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Describe the proposed action including purpose &amp; need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D17A1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 w:rsidRPr="006D17A1"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6D17A1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 w:rsidRPr="006D17A1"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List entities with overlapping jurisdiction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Describe current environmental conditions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Describe and evaluate:</w:t>
            </w:r>
          </w:p>
          <w:p w:rsidR="00E21C5A" w:rsidRPr="006D17A1" w:rsidRDefault="006666CC" w:rsidP="00E21C5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a) the impacts on the human environment</w:t>
            </w:r>
          </w:p>
          <w:p w:rsidR="006666CC" w:rsidRPr="006D17A1" w:rsidRDefault="006666CC" w:rsidP="00E21C5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b) growth-inducing or growth-inhibiting impacts</w:t>
            </w:r>
          </w:p>
          <w:p w:rsidR="006666CC" w:rsidRPr="006D17A1" w:rsidRDefault="006666CC" w:rsidP="00E21C5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 xml:space="preserve">c) irreversible and irretrievable commitments of </w:t>
            </w:r>
          </w:p>
          <w:p w:rsidR="006666CC" w:rsidRPr="006D17A1" w:rsidRDefault="006666CC" w:rsidP="006D17A1">
            <w:pPr>
              <w:numPr>
                <w:ilvl w:val="12"/>
                <w:numId w:val="0"/>
              </w:num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 xml:space="preserve">     environmental resources</w:t>
            </w:r>
            <w:r w:rsidR="006D17A1" w:rsidRPr="006D17A1">
              <w:rPr>
                <w:rFonts w:ascii="Times New Roman" w:hAnsi="Times New Roman" w:cs="Times New Roman"/>
              </w:rPr>
              <w:tab/>
            </w:r>
          </w:p>
          <w:p w:rsidR="006666CC" w:rsidRPr="006D17A1" w:rsidRDefault="006666CC" w:rsidP="00E21C5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d) economic and environmental benefits and costs of proposed action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6666CC" w:rsidRPr="006D17A1" w:rsidRDefault="006666CC" w:rsidP="001A5CC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Yes*</w:t>
            </w:r>
          </w:p>
          <w:p w:rsidR="006666CC" w:rsidRPr="006D17A1" w:rsidRDefault="006666CC" w:rsidP="001A5CC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No</w:t>
            </w:r>
          </w:p>
          <w:p w:rsidR="006666CC" w:rsidRPr="006D17A1" w:rsidRDefault="006666CC" w:rsidP="001A5CC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666CC" w:rsidRPr="006D17A1" w:rsidRDefault="006666CC" w:rsidP="001A5CC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:rsidR="006666CC" w:rsidRPr="006D17A1" w:rsidRDefault="006666CC" w:rsidP="001A5CCA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Describe the relationship between local short-term uses of man's environment and long-term productivity of the environment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Describe and analyze reasonable alternatives including the no action alternative that may or may not be within the agency's jurisdiction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</w:t>
            </w:r>
            <w:r w:rsidR="007B3418">
              <w:rPr>
                <w:rFonts w:ascii="Times New Roman" w:hAnsi="Times New Roman" w:cs="Times New Roman"/>
              </w:rPr>
              <w:t>**</w:t>
            </w:r>
            <w:r w:rsidRPr="006D17A1">
              <w:rPr>
                <w:rFonts w:ascii="Times New Roman" w:hAnsi="Times New Roman" w:cs="Times New Roman"/>
              </w:rPr>
              <w:t>, when alternatives are reasonably available. (EA rules omit jurisdictional language)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161E1B" w:rsidP="00CF3057">
            <w:pPr>
              <w:pStyle w:val="Level1"/>
              <w:tabs>
                <w:tab w:val="left" w:pos="720"/>
              </w:tabs>
              <w:spacing w:before="10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 w:rsidR="00CF305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Explain the tradeoffs among the reasonable alternatives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Identify the agency's preferred alternative and explain the reason for that preference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Yes*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List an appropriate evaluation of mitigation, stipulations, or other control measures enforceable by the agency or another agency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Discuss any compensation related to impacts of the proposed action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List other agencies and groups that have been contacted or contributed to the document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List individuals' names who were responsible for preparing the document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666CC" w:rsidRPr="006D1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6CC" w:rsidRPr="006D17A1" w:rsidRDefault="006666CC" w:rsidP="00E21C5A">
            <w:pPr>
              <w:numPr>
                <w:ilvl w:val="12"/>
                <w:numId w:val="0"/>
              </w:numPr>
              <w:spacing w:before="102" w:after="0" w:line="240" w:lineRule="auto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Include finding of need for an EIS and, if an EIS is not required, a description of the reasons the EA is the appropriate level of review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6CC" w:rsidRPr="006D17A1" w:rsidRDefault="007F5855" w:rsidP="001A5CCA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spacing w:before="102"/>
              <w:ind w:left="840" w:hanging="8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6CC" w:rsidRPr="006D17A1" w:rsidRDefault="006666CC" w:rsidP="001A5CCA">
            <w:pPr>
              <w:numPr>
                <w:ilvl w:val="12"/>
                <w:numId w:val="0"/>
              </w:numPr>
              <w:spacing w:before="102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17A1">
              <w:rPr>
                <w:rFonts w:ascii="Times New Roman" w:hAnsi="Times New Roman" w:cs="Times New Roman"/>
              </w:rPr>
              <w:t>No</w:t>
            </w:r>
          </w:p>
        </w:tc>
      </w:tr>
    </w:tbl>
    <w:p w:rsidR="000D3149" w:rsidRPr="006D17A1" w:rsidRDefault="000D3149" w:rsidP="00E21C5A">
      <w:pPr>
        <w:spacing w:after="0" w:line="240" w:lineRule="auto"/>
        <w:rPr>
          <w:rFonts w:ascii="Times New Roman" w:hAnsi="Times New Roman" w:cs="Times New Roman"/>
        </w:rPr>
      </w:pPr>
    </w:p>
    <w:sectPr w:rsidR="000D3149" w:rsidRPr="006D17A1" w:rsidSect="00251DF9">
      <w:headerReference w:type="default" r:id="rId7"/>
      <w:footerReference w:type="default" r:id="rId8"/>
      <w:pgSz w:w="12240" w:h="15840"/>
      <w:pgMar w:top="9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4C" w:rsidRDefault="008D034C" w:rsidP="00251DF9">
      <w:pPr>
        <w:spacing w:after="0" w:line="240" w:lineRule="auto"/>
      </w:pPr>
      <w:r>
        <w:separator/>
      </w:r>
    </w:p>
  </w:endnote>
  <w:endnote w:type="continuationSeparator" w:id="0">
    <w:p w:rsidR="008D034C" w:rsidRDefault="008D034C" w:rsidP="0025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2D" w:rsidRDefault="008D034C">
    <w:pPr>
      <w:rPr>
        <w:rFonts w:ascii="Times New Roman" w:hAnsi="Times New Roman" w:cs="Times New Roman"/>
        <w:sz w:val="20"/>
        <w:szCs w:val="20"/>
      </w:rPr>
    </w:pPr>
    <w:r w:rsidRPr="00D44FB8">
      <w:rPr>
        <w:rFonts w:ascii="Times New Roman" w:hAnsi="Times New Roman" w:cs="Times New Roman"/>
        <w:sz w:val="20"/>
        <w:szCs w:val="20"/>
      </w:rPr>
      <w:t xml:space="preserve">* Note that these rule requirements aren't explicitly stated in the EA MEPA rules. However, by their very </w:t>
    </w:r>
    <w:r w:rsidRPr="00D44FB8">
      <w:rPr>
        <w:rFonts w:ascii="Times New Roman" w:hAnsi="Times New Roman" w:cs="Times New Roman"/>
        <w:sz w:val="20"/>
        <w:szCs w:val="20"/>
      </w:rPr>
      <w:t xml:space="preserve">nature, the EA MEPA rules generally require some form of discussion and analysis here. The scope and depth </w:t>
    </w:r>
    <w:r w:rsidRPr="00D44FB8">
      <w:rPr>
        <w:rFonts w:ascii="Times New Roman" w:hAnsi="Times New Roman" w:cs="Times New Roman"/>
        <w:sz w:val="20"/>
        <w:szCs w:val="20"/>
      </w:rPr>
      <w:t>is discretionary.</w:t>
    </w:r>
  </w:p>
  <w:p w:rsidR="00D47278" w:rsidRPr="00D44FB8" w:rsidRDefault="00D44FB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</w:r>
    <w:r w:rsidR="00D47278" w:rsidRPr="00D44FB8">
      <w:rPr>
        <w:rFonts w:ascii="Times New Roman" w:hAnsi="Times New Roman" w:cs="Times New Roman"/>
        <w:sz w:val="20"/>
        <w:szCs w:val="20"/>
      </w:rPr>
      <w:t>**</w:t>
    </w:r>
    <w:r>
      <w:rPr>
        <w:rFonts w:ascii="Times New Roman" w:hAnsi="Times New Roman" w:cs="Times New Roman"/>
        <w:sz w:val="20"/>
        <w:szCs w:val="20"/>
      </w:rPr>
      <w:t>75-1-201, MCA, says i</w:t>
    </w:r>
    <w:r w:rsidR="00D47278" w:rsidRPr="00D44FB8">
      <w:rPr>
        <w:rFonts w:ascii="Times New Roman" w:eastAsia="+mn-ea" w:hAnsi="Times New Roman" w:cs="Times New Roman"/>
        <w:color w:val="000000"/>
        <w:kern w:val="24"/>
        <w:sz w:val="20"/>
        <w:szCs w:val="20"/>
      </w:rPr>
      <w:t xml:space="preserve">f the alternatives analysis is conducted for a project that is not a state-sponsored project and alternatives are recommended, the project sponsor may volunteer to implement the alternative. </w:t>
    </w:r>
    <w:r w:rsidR="009E5E51">
      <w:rPr>
        <w:rFonts w:ascii="Times New Roman" w:eastAsia="+mn-ea" w:hAnsi="Times New Roman" w:cs="Times New Roman"/>
        <w:color w:val="000000"/>
        <w:kern w:val="24"/>
        <w:sz w:val="20"/>
        <w:szCs w:val="20"/>
      </w:rPr>
      <w:t>N</w:t>
    </w:r>
    <w:r w:rsidR="00D47278" w:rsidRPr="00D44FB8">
      <w:rPr>
        <w:rFonts w:ascii="Times New Roman" w:eastAsia="+mn-ea" w:hAnsi="Times New Roman" w:cs="Times New Roman"/>
        <w:color w:val="000000"/>
        <w:kern w:val="24"/>
        <w:sz w:val="20"/>
        <w:szCs w:val="20"/>
      </w:rPr>
      <w:t>either the alternatives analysis nor the resulting recommendations bind the project sponsor to take a recommended course of action, but the project sponsor may agree to a specific course of action.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4C" w:rsidRDefault="008D034C" w:rsidP="00251DF9">
      <w:pPr>
        <w:spacing w:after="0" w:line="240" w:lineRule="auto"/>
      </w:pPr>
      <w:r>
        <w:separator/>
      </w:r>
    </w:p>
  </w:footnote>
  <w:footnote w:type="continuationSeparator" w:id="0">
    <w:p w:rsidR="008D034C" w:rsidRDefault="008D034C" w:rsidP="0025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C6" w:rsidRDefault="008D034C">
    <w:pPr>
      <w:jc w:val="center"/>
      <w:rPr>
        <w:sz w:val="52"/>
        <w:szCs w:val="52"/>
      </w:rPr>
    </w:pPr>
    <w:r>
      <w:rPr>
        <w:sz w:val="52"/>
        <w:szCs w:val="52"/>
      </w:rPr>
      <w:t>EA vs. EIS: A Substantive Comparison</w:t>
    </w:r>
  </w:p>
  <w:p w:rsidR="00415DC6" w:rsidRDefault="008D034C">
    <w:pP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8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6CC"/>
    <w:rsid w:val="000D3149"/>
    <w:rsid w:val="00161E1B"/>
    <w:rsid w:val="001A5CCA"/>
    <w:rsid w:val="00251DF9"/>
    <w:rsid w:val="006666CC"/>
    <w:rsid w:val="006D17A1"/>
    <w:rsid w:val="00716E1C"/>
    <w:rsid w:val="007B3418"/>
    <w:rsid w:val="007E0907"/>
    <w:rsid w:val="007F5855"/>
    <w:rsid w:val="0084306F"/>
    <w:rsid w:val="008B5D88"/>
    <w:rsid w:val="008D034C"/>
    <w:rsid w:val="009E5E51"/>
    <w:rsid w:val="00AC4341"/>
    <w:rsid w:val="00CF3057"/>
    <w:rsid w:val="00D44FB8"/>
    <w:rsid w:val="00D47278"/>
    <w:rsid w:val="00E21C5A"/>
    <w:rsid w:val="00EC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666CC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F9"/>
  </w:style>
  <w:style w:type="paragraph" w:styleId="Footer">
    <w:name w:val="footer"/>
    <w:basedOn w:val="Normal"/>
    <w:link w:val="FooterChar"/>
    <w:uiPriority w:val="99"/>
    <w:semiHidden/>
    <w:unhideWhenUsed/>
    <w:rsid w:val="0025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F9"/>
  </w:style>
  <w:style w:type="paragraph" w:styleId="NormalWeb">
    <w:name w:val="Normal (Web)"/>
    <w:basedOn w:val="Normal"/>
    <w:uiPriority w:val="99"/>
    <w:semiHidden/>
    <w:unhideWhenUsed/>
    <w:rsid w:val="00D4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Branch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12</cp:revision>
  <dcterms:created xsi:type="dcterms:W3CDTF">2012-03-14T18:11:00Z</dcterms:created>
  <dcterms:modified xsi:type="dcterms:W3CDTF">2012-03-14T18:44:00Z</dcterms:modified>
</cp:coreProperties>
</file>