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BB837" w14:textId="77777777" w:rsidR="00077F86" w:rsidRPr="002E12B4" w:rsidRDefault="00077F86" w:rsidP="002E12B4">
      <w:pPr>
        <w:pStyle w:val="Title"/>
        <w:jc w:val="center"/>
        <w:rPr>
          <w:sz w:val="32"/>
          <w:szCs w:val="32"/>
          <w:u w:val="single"/>
        </w:rPr>
      </w:pPr>
      <w:r w:rsidRPr="002E12B4">
        <w:rPr>
          <w:sz w:val="32"/>
          <w:szCs w:val="32"/>
          <w:u w:val="single"/>
        </w:rPr>
        <w:t>MONTANA PUBLIC SERVICE COMMISSION UPDATE TO</w:t>
      </w:r>
    </w:p>
    <w:p w14:paraId="64E39EC8" w14:textId="679ACEF5" w:rsidR="00627E71" w:rsidRPr="002E12B4" w:rsidRDefault="00077F86" w:rsidP="002E12B4">
      <w:pPr>
        <w:pStyle w:val="Title"/>
        <w:jc w:val="center"/>
        <w:rPr>
          <w:sz w:val="32"/>
          <w:szCs w:val="32"/>
          <w:u w:val="single"/>
        </w:rPr>
      </w:pPr>
      <w:r w:rsidRPr="002E12B4">
        <w:rPr>
          <w:sz w:val="32"/>
          <w:szCs w:val="32"/>
          <w:u w:val="single"/>
        </w:rPr>
        <w:t>THE ENERGY &amp; TELECOMMUNICATIONS INTERIM COMMITTEE</w:t>
      </w:r>
    </w:p>
    <w:p w14:paraId="39027C59" w14:textId="2F693907" w:rsidR="00077F86" w:rsidRPr="002E12B4" w:rsidRDefault="00077F86" w:rsidP="002E12B4">
      <w:pPr>
        <w:pStyle w:val="Title"/>
        <w:jc w:val="center"/>
        <w:rPr>
          <w:sz w:val="32"/>
          <w:szCs w:val="32"/>
          <w:u w:val="single"/>
        </w:rPr>
      </w:pPr>
      <w:r w:rsidRPr="002E12B4">
        <w:rPr>
          <w:sz w:val="32"/>
          <w:szCs w:val="32"/>
          <w:u w:val="single"/>
        </w:rPr>
        <w:t>STATUS OF DOCKETS</w:t>
      </w:r>
    </w:p>
    <w:p w14:paraId="0F32299E" w14:textId="77777777" w:rsidR="00077F86" w:rsidRDefault="00077F86" w:rsidP="00627E71">
      <w:pPr>
        <w:spacing w:after="0"/>
        <w:jc w:val="center"/>
        <w:rPr>
          <w:sz w:val="24"/>
          <w:szCs w:val="24"/>
        </w:rPr>
      </w:pPr>
    </w:p>
    <w:p w14:paraId="0B4F4E61" w14:textId="31FD3328" w:rsidR="00627E71" w:rsidRPr="00A3793C" w:rsidRDefault="00BD73C8" w:rsidP="00627E71">
      <w:pPr>
        <w:spacing w:after="0"/>
        <w:jc w:val="center"/>
        <w:rPr>
          <w:sz w:val="24"/>
          <w:szCs w:val="24"/>
        </w:rPr>
      </w:pPr>
      <w:r>
        <w:rPr>
          <w:sz w:val="24"/>
          <w:szCs w:val="24"/>
        </w:rPr>
        <w:t>January 10</w:t>
      </w:r>
      <w:r w:rsidR="007407DC">
        <w:rPr>
          <w:sz w:val="24"/>
          <w:szCs w:val="24"/>
        </w:rPr>
        <w:t>, 202</w:t>
      </w:r>
      <w:r>
        <w:rPr>
          <w:sz w:val="24"/>
          <w:szCs w:val="24"/>
        </w:rPr>
        <w:t>4</w:t>
      </w:r>
    </w:p>
    <w:p w14:paraId="1DCF73AA" w14:textId="5A00A76B" w:rsidR="00627E71" w:rsidRPr="00A3793C" w:rsidRDefault="00174CF0" w:rsidP="00627E71">
      <w:pPr>
        <w:jc w:val="center"/>
        <w:rPr>
          <w:sz w:val="24"/>
          <w:szCs w:val="24"/>
        </w:rPr>
      </w:pPr>
      <w:r>
        <w:rPr>
          <w:sz w:val="24"/>
          <w:szCs w:val="24"/>
        </w:rPr>
        <w:t>President</w:t>
      </w:r>
      <w:r w:rsidR="00627E71" w:rsidRPr="00A3793C">
        <w:rPr>
          <w:sz w:val="24"/>
          <w:szCs w:val="24"/>
        </w:rPr>
        <w:t xml:space="preserve"> </w:t>
      </w:r>
      <w:r w:rsidR="007407DC">
        <w:rPr>
          <w:sz w:val="24"/>
          <w:szCs w:val="24"/>
        </w:rPr>
        <w:t>James Brown</w:t>
      </w:r>
    </w:p>
    <w:p w14:paraId="02950F01" w14:textId="77777777" w:rsidR="0009020D" w:rsidRPr="002E12B4" w:rsidRDefault="00926B76" w:rsidP="002E12B4">
      <w:pPr>
        <w:pStyle w:val="Heading1"/>
      </w:pPr>
      <w:r w:rsidRPr="002E12B4">
        <w:t xml:space="preserve">1.   </w:t>
      </w:r>
      <w:r w:rsidR="00926A73" w:rsidRPr="002E12B4">
        <w:t xml:space="preserve">NorthWestern </w:t>
      </w:r>
      <w:r w:rsidR="0009020D" w:rsidRPr="002E12B4">
        <w:t>Energy</w:t>
      </w:r>
    </w:p>
    <w:p w14:paraId="42C30D1E" w14:textId="77777777" w:rsidR="00252E78" w:rsidRDefault="00252E78" w:rsidP="00F96F7D">
      <w:pPr>
        <w:pStyle w:val="Heading2"/>
      </w:pPr>
    </w:p>
    <w:p w14:paraId="5D992C53" w14:textId="4B9F8BCD" w:rsidR="005B6E5E" w:rsidRDefault="005B6E5E" w:rsidP="00F96F7D">
      <w:pPr>
        <w:pStyle w:val="Heading2"/>
      </w:pPr>
      <w:r>
        <w:t>Advanced Metering Opt-Out Tariff – Docket 2022.06.067</w:t>
      </w:r>
    </w:p>
    <w:p w14:paraId="205D9126" w14:textId="77777777" w:rsidR="00BE3C87" w:rsidRDefault="00BE3C87" w:rsidP="00CB6A79">
      <w:pPr>
        <w:pStyle w:val="ListParagraph"/>
        <w:numPr>
          <w:ilvl w:val="0"/>
          <w:numId w:val="16"/>
        </w:numPr>
        <w:rPr>
          <w:sz w:val="24"/>
          <w:szCs w:val="24"/>
        </w:rPr>
      </w:pPr>
      <w:r>
        <w:rPr>
          <w:sz w:val="24"/>
          <w:szCs w:val="24"/>
        </w:rPr>
        <w:t>The Commission’s rules require utilities to provide customers with the option to remove an installed advanced metering device and replace it with an alternative meter approved by the commission, or to decline installation of an advanced metering device and retain the existing meter, as guided by a cost-based opt-out service tariff. See Mont. Admin. R. 38.5.2603(1).</w:t>
      </w:r>
    </w:p>
    <w:p w14:paraId="584661DD" w14:textId="5C937788" w:rsidR="005B6E5E" w:rsidRDefault="009224B5" w:rsidP="00CB6A79">
      <w:pPr>
        <w:pStyle w:val="ListParagraph"/>
        <w:numPr>
          <w:ilvl w:val="0"/>
          <w:numId w:val="16"/>
        </w:numPr>
        <w:rPr>
          <w:sz w:val="24"/>
          <w:szCs w:val="24"/>
        </w:rPr>
      </w:pPr>
      <w:r>
        <w:rPr>
          <w:sz w:val="24"/>
          <w:szCs w:val="24"/>
        </w:rPr>
        <w:t xml:space="preserve">In </w:t>
      </w:r>
      <w:r w:rsidR="005B6E5E">
        <w:rPr>
          <w:sz w:val="24"/>
          <w:szCs w:val="24"/>
        </w:rPr>
        <w:t>June 2022 NorthWestern filed an application for approval of an advanced metering opt-out tariff.</w:t>
      </w:r>
    </w:p>
    <w:p w14:paraId="28D724EA" w14:textId="77777777" w:rsidR="009224B5" w:rsidRDefault="005B6E5E" w:rsidP="00CB6A79">
      <w:pPr>
        <w:pStyle w:val="ListParagraph"/>
        <w:numPr>
          <w:ilvl w:val="0"/>
          <w:numId w:val="16"/>
        </w:numPr>
        <w:rPr>
          <w:sz w:val="24"/>
          <w:szCs w:val="24"/>
        </w:rPr>
      </w:pPr>
      <w:r>
        <w:rPr>
          <w:sz w:val="24"/>
          <w:szCs w:val="24"/>
        </w:rPr>
        <w:t>NorthWestern propose</w:t>
      </w:r>
      <w:r w:rsidR="009224B5">
        <w:rPr>
          <w:sz w:val="24"/>
          <w:szCs w:val="24"/>
        </w:rPr>
        <w:t>d</w:t>
      </w:r>
      <w:r>
        <w:rPr>
          <w:sz w:val="24"/>
          <w:szCs w:val="24"/>
        </w:rPr>
        <w:t xml:space="preserve"> to allow customers to opt out of NorthWestern’s </w:t>
      </w:r>
      <w:r w:rsidR="009224B5">
        <w:rPr>
          <w:sz w:val="24"/>
          <w:szCs w:val="24"/>
        </w:rPr>
        <w:t xml:space="preserve">ongoing </w:t>
      </w:r>
      <w:r>
        <w:rPr>
          <w:sz w:val="24"/>
          <w:szCs w:val="24"/>
        </w:rPr>
        <w:t>deployment of advanced meters for a fee of $75 per service.</w:t>
      </w:r>
    </w:p>
    <w:p w14:paraId="1F2542D7" w14:textId="7A74649C" w:rsidR="005B6E5E" w:rsidRDefault="009224B5" w:rsidP="00CB6A79">
      <w:pPr>
        <w:pStyle w:val="ListParagraph"/>
        <w:numPr>
          <w:ilvl w:val="0"/>
          <w:numId w:val="16"/>
        </w:numPr>
        <w:rPr>
          <w:sz w:val="24"/>
          <w:szCs w:val="24"/>
        </w:rPr>
      </w:pPr>
      <w:r>
        <w:rPr>
          <w:sz w:val="24"/>
          <w:szCs w:val="24"/>
        </w:rPr>
        <w:t>For customers that opt-out</w:t>
      </w:r>
      <w:r w:rsidR="005B6E5E">
        <w:rPr>
          <w:sz w:val="24"/>
          <w:szCs w:val="24"/>
        </w:rPr>
        <w:t xml:space="preserve">, NorthWestern </w:t>
      </w:r>
      <w:r>
        <w:rPr>
          <w:sz w:val="24"/>
          <w:szCs w:val="24"/>
        </w:rPr>
        <w:t xml:space="preserve">would </w:t>
      </w:r>
      <w:r w:rsidR="005B6E5E">
        <w:rPr>
          <w:sz w:val="24"/>
          <w:szCs w:val="24"/>
        </w:rPr>
        <w:t xml:space="preserve">install a non-communicating meter and </w:t>
      </w:r>
      <w:r>
        <w:rPr>
          <w:sz w:val="24"/>
          <w:szCs w:val="24"/>
        </w:rPr>
        <w:t xml:space="preserve">implement </w:t>
      </w:r>
      <w:r w:rsidR="005B6E5E">
        <w:rPr>
          <w:sz w:val="24"/>
          <w:szCs w:val="24"/>
        </w:rPr>
        <w:t xml:space="preserve">two meter-reading options: NorthWestern </w:t>
      </w:r>
      <w:r>
        <w:rPr>
          <w:sz w:val="24"/>
          <w:szCs w:val="24"/>
        </w:rPr>
        <w:t xml:space="preserve">would </w:t>
      </w:r>
      <w:r w:rsidR="005B6E5E">
        <w:rPr>
          <w:sz w:val="24"/>
          <w:szCs w:val="24"/>
        </w:rPr>
        <w:t xml:space="preserve">read the meter for $15 per month, or the customer </w:t>
      </w:r>
      <w:r>
        <w:rPr>
          <w:sz w:val="24"/>
          <w:szCs w:val="24"/>
        </w:rPr>
        <w:t xml:space="preserve">could </w:t>
      </w:r>
      <w:r w:rsidR="005B6E5E">
        <w:rPr>
          <w:sz w:val="24"/>
          <w:szCs w:val="24"/>
        </w:rPr>
        <w:t>self-read the meter for $5 per month.</w:t>
      </w:r>
    </w:p>
    <w:p w14:paraId="7381E6A1" w14:textId="143A0B7F" w:rsidR="005B6E5E" w:rsidRDefault="005B6E5E" w:rsidP="00CB6A79">
      <w:pPr>
        <w:pStyle w:val="ListParagraph"/>
        <w:numPr>
          <w:ilvl w:val="0"/>
          <w:numId w:val="16"/>
        </w:numPr>
        <w:rPr>
          <w:sz w:val="24"/>
          <w:szCs w:val="24"/>
        </w:rPr>
      </w:pPr>
      <w:r>
        <w:rPr>
          <w:sz w:val="24"/>
          <w:szCs w:val="24"/>
        </w:rPr>
        <w:t>NorthWestern state</w:t>
      </w:r>
      <w:r w:rsidR="00644294">
        <w:rPr>
          <w:sz w:val="24"/>
          <w:szCs w:val="24"/>
        </w:rPr>
        <w:t>d</w:t>
      </w:r>
      <w:r>
        <w:rPr>
          <w:sz w:val="24"/>
          <w:szCs w:val="24"/>
        </w:rPr>
        <w:t xml:space="preserve"> that it </w:t>
      </w:r>
      <w:r w:rsidR="00BE3C87">
        <w:rPr>
          <w:sz w:val="24"/>
          <w:szCs w:val="24"/>
        </w:rPr>
        <w:t>would</w:t>
      </w:r>
      <w:r>
        <w:rPr>
          <w:sz w:val="24"/>
          <w:szCs w:val="24"/>
        </w:rPr>
        <w:t xml:space="preserve"> incur material costs to install non-communicating meters and manage the meter reading process</w:t>
      </w:r>
      <w:r w:rsidR="00BE3C87">
        <w:rPr>
          <w:sz w:val="24"/>
          <w:szCs w:val="24"/>
        </w:rPr>
        <w:t>, and although</w:t>
      </w:r>
      <w:r>
        <w:rPr>
          <w:sz w:val="24"/>
          <w:szCs w:val="24"/>
        </w:rPr>
        <w:t xml:space="preserve"> the proposed fees would not fully cover th</w:t>
      </w:r>
      <w:r w:rsidR="00644294">
        <w:rPr>
          <w:sz w:val="24"/>
          <w:szCs w:val="24"/>
        </w:rPr>
        <w:t>ose</w:t>
      </w:r>
      <w:r>
        <w:rPr>
          <w:sz w:val="24"/>
          <w:szCs w:val="24"/>
        </w:rPr>
        <w:t xml:space="preserve"> costs</w:t>
      </w:r>
      <w:r w:rsidR="00BE3C87">
        <w:rPr>
          <w:sz w:val="24"/>
          <w:szCs w:val="24"/>
        </w:rPr>
        <w:t>,</w:t>
      </w:r>
      <w:r>
        <w:rPr>
          <w:sz w:val="24"/>
          <w:szCs w:val="24"/>
        </w:rPr>
        <w:t xml:space="preserve"> </w:t>
      </w:r>
      <w:r w:rsidR="00BE3C87">
        <w:rPr>
          <w:sz w:val="24"/>
          <w:szCs w:val="24"/>
        </w:rPr>
        <w:t xml:space="preserve">they </w:t>
      </w:r>
      <w:r>
        <w:rPr>
          <w:sz w:val="24"/>
          <w:szCs w:val="24"/>
        </w:rPr>
        <w:t>reflect prevailing industry rates for opt</w:t>
      </w:r>
      <w:r w:rsidR="00644294">
        <w:rPr>
          <w:sz w:val="24"/>
          <w:szCs w:val="24"/>
        </w:rPr>
        <w:t>-</w:t>
      </w:r>
      <w:r>
        <w:rPr>
          <w:sz w:val="24"/>
          <w:szCs w:val="24"/>
        </w:rPr>
        <w:t>out services.</w:t>
      </w:r>
    </w:p>
    <w:p w14:paraId="166B496D" w14:textId="11D7CF85" w:rsidR="00540C7A" w:rsidRPr="00644294" w:rsidRDefault="005B6E5E" w:rsidP="00CB6A79">
      <w:pPr>
        <w:pStyle w:val="ListParagraph"/>
        <w:numPr>
          <w:ilvl w:val="0"/>
          <w:numId w:val="16"/>
        </w:numPr>
        <w:rPr>
          <w:sz w:val="24"/>
          <w:szCs w:val="24"/>
        </w:rPr>
      </w:pPr>
      <w:r w:rsidRPr="00644294">
        <w:rPr>
          <w:sz w:val="24"/>
          <w:szCs w:val="24"/>
        </w:rPr>
        <w:t xml:space="preserve">The Consumer Counsel </w:t>
      </w:r>
      <w:r w:rsidR="00644294" w:rsidRPr="00644294">
        <w:rPr>
          <w:sz w:val="24"/>
          <w:szCs w:val="24"/>
        </w:rPr>
        <w:t xml:space="preserve">intervened in the proceeding and </w:t>
      </w:r>
      <w:r w:rsidR="00540C7A" w:rsidRPr="00644294">
        <w:rPr>
          <w:sz w:val="24"/>
          <w:szCs w:val="24"/>
        </w:rPr>
        <w:t>opposed NorthWestern’s proposed opt-out fees</w:t>
      </w:r>
      <w:r w:rsidR="00644294">
        <w:rPr>
          <w:sz w:val="24"/>
          <w:szCs w:val="24"/>
        </w:rPr>
        <w:t xml:space="preserve">. The Consumer Counsel </w:t>
      </w:r>
      <w:r w:rsidR="00540C7A" w:rsidRPr="00644294">
        <w:rPr>
          <w:sz w:val="24"/>
          <w:szCs w:val="24"/>
        </w:rPr>
        <w:t>assert</w:t>
      </w:r>
      <w:r w:rsidR="00644294">
        <w:rPr>
          <w:sz w:val="24"/>
          <w:szCs w:val="24"/>
        </w:rPr>
        <w:t>ed</w:t>
      </w:r>
      <w:r w:rsidR="00540C7A" w:rsidRPr="00644294">
        <w:rPr>
          <w:sz w:val="24"/>
          <w:szCs w:val="24"/>
        </w:rPr>
        <w:t xml:space="preserve"> the</w:t>
      </w:r>
      <w:r w:rsidR="00644294">
        <w:rPr>
          <w:sz w:val="24"/>
          <w:szCs w:val="24"/>
        </w:rPr>
        <w:t xml:space="preserve"> proposed fees</w:t>
      </w:r>
      <w:r w:rsidR="00540C7A" w:rsidRPr="00644294">
        <w:rPr>
          <w:sz w:val="24"/>
          <w:szCs w:val="24"/>
        </w:rPr>
        <w:t xml:space="preserve"> were not adequately supported by actual cost information. In addition, the Consumer Counsel contended that NorthWestern’s application failed to comply with Commission rules because it did not allow customer</w:t>
      </w:r>
      <w:r w:rsidR="000663F5">
        <w:rPr>
          <w:sz w:val="24"/>
          <w:szCs w:val="24"/>
        </w:rPr>
        <w:t>s</w:t>
      </w:r>
      <w:r w:rsidR="00540C7A" w:rsidRPr="00644294">
        <w:rPr>
          <w:sz w:val="24"/>
          <w:szCs w:val="24"/>
        </w:rPr>
        <w:t xml:space="preserve"> to retain the existing meter.</w:t>
      </w:r>
    </w:p>
    <w:p w14:paraId="771AC97C" w14:textId="118DD50B" w:rsidR="005134E4" w:rsidRPr="00C61B07" w:rsidRDefault="00644294" w:rsidP="00C61B07">
      <w:pPr>
        <w:pStyle w:val="ListParagraph"/>
        <w:numPr>
          <w:ilvl w:val="0"/>
          <w:numId w:val="16"/>
        </w:numPr>
        <w:rPr>
          <w:sz w:val="24"/>
          <w:szCs w:val="24"/>
        </w:rPr>
      </w:pPr>
      <w:r>
        <w:rPr>
          <w:sz w:val="24"/>
          <w:szCs w:val="24"/>
        </w:rPr>
        <w:t>The Commission conducted a</w:t>
      </w:r>
      <w:r w:rsidR="00141640">
        <w:rPr>
          <w:sz w:val="24"/>
          <w:szCs w:val="24"/>
        </w:rPr>
        <w:t xml:space="preserve"> </w:t>
      </w:r>
      <w:r w:rsidR="005F6F29">
        <w:rPr>
          <w:sz w:val="24"/>
          <w:szCs w:val="24"/>
        </w:rPr>
        <w:t xml:space="preserve">public hearing </w:t>
      </w:r>
      <w:r>
        <w:rPr>
          <w:sz w:val="24"/>
          <w:szCs w:val="24"/>
        </w:rPr>
        <w:t xml:space="preserve">on </w:t>
      </w:r>
      <w:r w:rsidR="005F6F29">
        <w:rPr>
          <w:sz w:val="24"/>
          <w:szCs w:val="24"/>
        </w:rPr>
        <w:t>January 31</w:t>
      </w:r>
      <w:r w:rsidR="005134E4">
        <w:rPr>
          <w:sz w:val="24"/>
          <w:szCs w:val="24"/>
        </w:rPr>
        <w:t xml:space="preserve"> and February 1, 2023.</w:t>
      </w:r>
      <w:r w:rsidR="0016212A" w:rsidRPr="00C61B07">
        <w:rPr>
          <w:sz w:val="24"/>
          <w:szCs w:val="24"/>
        </w:rPr>
        <w:t xml:space="preserve"> </w:t>
      </w:r>
    </w:p>
    <w:p w14:paraId="7D408CB2" w14:textId="353D4257" w:rsidR="0016212A" w:rsidRDefault="00BE3C87" w:rsidP="0016212A">
      <w:pPr>
        <w:pStyle w:val="ListParagraph"/>
        <w:numPr>
          <w:ilvl w:val="0"/>
          <w:numId w:val="16"/>
        </w:numPr>
        <w:rPr>
          <w:sz w:val="24"/>
          <w:szCs w:val="24"/>
        </w:rPr>
      </w:pPr>
      <w:r>
        <w:rPr>
          <w:sz w:val="24"/>
          <w:szCs w:val="24"/>
        </w:rPr>
        <w:t>I</w:t>
      </w:r>
      <w:r w:rsidR="001F642A">
        <w:rPr>
          <w:sz w:val="24"/>
          <w:szCs w:val="24"/>
        </w:rPr>
        <w:t xml:space="preserve">n </w:t>
      </w:r>
      <w:r w:rsidR="00C61B07">
        <w:rPr>
          <w:sz w:val="24"/>
          <w:szCs w:val="24"/>
        </w:rPr>
        <w:t>July 2023</w:t>
      </w:r>
      <w:r w:rsidR="00ED2DBF">
        <w:rPr>
          <w:sz w:val="24"/>
          <w:szCs w:val="24"/>
        </w:rPr>
        <w:t xml:space="preserve"> </w:t>
      </w:r>
      <w:r w:rsidR="001F642A">
        <w:rPr>
          <w:sz w:val="24"/>
          <w:szCs w:val="24"/>
        </w:rPr>
        <w:t>the Commission</w:t>
      </w:r>
      <w:r w:rsidR="00C61B07">
        <w:rPr>
          <w:sz w:val="24"/>
          <w:szCs w:val="24"/>
        </w:rPr>
        <w:t xml:space="preserve"> issued an order </w:t>
      </w:r>
      <w:r w:rsidR="002E7C46">
        <w:rPr>
          <w:sz w:val="24"/>
          <w:szCs w:val="24"/>
        </w:rPr>
        <w:t>deny</w:t>
      </w:r>
      <w:r w:rsidR="00C61B07">
        <w:rPr>
          <w:sz w:val="24"/>
          <w:szCs w:val="24"/>
        </w:rPr>
        <w:t>ing</w:t>
      </w:r>
      <w:r w:rsidR="001F642A">
        <w:rPr>
          <w:sz w:val="24"/>
          <w:szCs w:val="24"/>
        </w:rPr>
        <w:t xml:space="preserve"> all opt</w:t>
      </w:r>
      <w:r w:rsidR="00644294">
        <w:rPr>
          <w:sz w:val="24"/>
          <w:szCs w:val="24"/>
        </w:rPr>
        <w:t>-</w:t>
      </w:r>
      <w:r w:rsidR="001F642A">
        <w:rPr>
          <w:sz w:val="24"/>
          <w:szCs w:val="24"/>
        </w:rPr>
        <w:t xml:space="preserve">out fees until NorthWestern </w:t>
      </w:r>
      <w:r w:rsidR="00644294">
        <w:rPr>
          <w:sz w:val="24"/>
          <w:szCs w:val="24"/>
        </w:rPr>
        <w:t>completes</w:t>
      </w:r>
      <w:r w:rsidR="001F642A">
        <w:rPr>
          <w:sz w:val="24"/>
          <w:szCs w:val="24"/>
        </w:rPr>
        <w:t xml:space="preserve"> </w:t>
      </w:r>
      <w:r>
        <w:rPr>
          <w:sz w:val="24"/>
          <w:szCs w:val="24"/>
        </w:rPr>
        <w:t xml:space="preserve">the </w:t>
      </w:r>
      <w:r w:rsidR="001F642A">
        <w:rPr>
          <w:sz w:val="24"/>
          <w:szCs w:val="24"/>
        </w:rPr>
        <w:t xml:space="preserve">deployment of advanced meters and actual costs are known. The Commission also </w:t>
      </w:r>
      <w:r w:rsidR="00C61B07">
        <w:rPr>
          <w:sz w:val="24"/>
          <w:szCs w:val="24"/>
        </w:rPr>
        <w:t xml:space="preserve">required NorthWestern </w:t>
      </w:r>
      <w:r w:rsidR="001F642A">
        <w:rPr>
          <w:sz w:val="24"/>
          <w:szCs w:val="24"/>
        </w:rPr>
        <w:t xml:space="preserve">to allow customers to </w:t>
      </w:r>
      <w:r>
        <w:rPr>
          <w:sz w:val="24"/>
          <w:szCs w:val="24"/>
        </w:rPr>
        <w:t xml:space="preserve">decline an advanced meter and </w:t>
      </w:r>
      <w:r w:rsidR="001F642A">
        <w:rPr>
          <w:sz w:val="24"/>
          <w:szCs w:val="24"/>
        </w:rPr>
        <w:t>retain the current meter without fees in the meantime.</w:t>
      </w:r>
    </w:p>
    <w:p w14:paraId="20819A83" w14:textId="5D021AB9" w:rsidR="00C61B07" w:rsidRDefault="00C61B07" w:rsidP="0016212A">
      <w:pPr>
        <w:pStyle w:val="ListParagraph"/>
        <w:numPr>
          <w:ilvl w:val="0"/>
          <w:numId w:val="16"/>
        </w:numPr>
        <w:rPr>
          <w:sz w:val="24"/>
          <w:szCs w:val="24"/>
        </w:rPr>
      </w:pPr>
      <w:r>
        <w:rPr>
          <w:sz w:val="24"/>
          <w:szCs w:val="24"/>
        </w:rPr>
        <w:t>Recently, the Commission has receiv</w:t>
      </w:r>
      <w:r w:rsidR="00BE3C87">
        <w:rPr>
          <w:sz w:val="24"/>
          <w:szCs w:val="24"/>
        </w:rPr>
        <w:t>ed</w:t>
      </w:r>
      <w:r>
        <w:rPr>
          <w:sz w:val="24"/>
          <w:szCs w:val="24"/>
        </w:rPr>
        <w:t xml:space="preserve"> </w:t>
      </w:r>
      <w:r w:rsidR="00BE3C87">
        <w:rPr>
          <w:sz w:val="24"/>
          <w:szCs w:val="24"/>
        </w:rPr>
        <w:t xml:space="preserve">multiple </w:t>
      </w:r>
      <w:r>
        <w:rPr>
          <w:sz w:val="24"/>
          <w:szCs w:val="24"/>
        </w:rPr>
        <w:t>complaints from customers who had requested to opt out of receiving an advanced meter but were denied by NorthWestern.</w:t>
      </w:r>
    </w:p>
    <w:p w14:paraId="35071A7D" w14:textId="190FE55C" w:rsidR="00C61B07" w:rsidRDefault="00BE3C87" w:rsidP="0016212A">
      <w:pPr>
        <w:pStyle w:val="ListParagraph"/>
        <w:numPr>
          <w:ilvl w:val="0"/>
          <w:numId w:val="16"/>
        </w:numPr>
        <w:rPr>
          <w:sz w:val="24"/>
          <w:szCs w:val="24"/>
        </w:rPr>
      </w:pPr>
      <w:r>
        <w:rPr>
          <w:sz w:val="24"/>
          <w:szCs w:val="24"/>
        </w:rPr>
        <w:lastRenderedPageBreak/>
        <w:t>T</w:t>
      </w:r>
      <w:r w:rsidR="00C61B07">
        <w:rPr>
          <w:sz w:val="24"/>
          <w:szCs w:val="24"/>
        </w:rPr>
        <w:t xml:space="preserve">he Commission is working with NorthWestern </w:t>
      </w:r>
      <w:r w:rsidR="00045F6A">
        <w:rPr>
          <w:sz w:val="24"/>
          <w:szCs w:val="24"/>
        </w:rPr>
        <w:t xml:space="preserve">on an </w:t>
      </w:r>
      <w:r w:rsidR="00C61B07">
        <w:rPr>
          <w:sz w:val="24"/>
          <w:szCs w:val="24"/>
        </w:rPr>
        <w:t>informal</w:t>
      </w:r>
      <w:r w:rsidR="00045F6A">
        <w:rPr>
          <w:sz w:val="24"/>
          <w:szCs w:val="24"/>
        </w:rPr>
        <w:t xml:space="preserve"> basis</w:t>
      </w:r>
      <w:r w:rsidR="00C61B07">
        <w:rPr>
          <w:sz w:val="24"/>
          <w:szCs w:val="24"/>
        </w:rPr>
        <w:t xml:space="preserve"> to address the complaints</w:t>
      </w:r>
      <w:r w:rsidR="00045F6A">
        <w:rPr>
          <w:sz w:val="24"/>
          <w:szCs w:val="24"/>
        </w:rPr>
        <w:t>,</w:t>
      </w:r>
      <w:r w:rsidR="00C61B07">
        <w:rPr>
          <w:sz w:val="24"/>
          <w:szCs w:val="24"/>
        </w:rPr>
        <w:t xml:space="preserve"> the reasons some customers are being denied the ability to opt out</w:t>
      </w:r>
      <w:r w:rsidR="00045F6A">
        <w:rPr>
          <w:sz w:val="24"/>
          <w:szCs w:val="24"/>
        </w:rPr>
        <w:t>, and whether there are any legitimate circumstances in which it is not feasible to allow opt out requests</w:t>
      </w:r>
      <w:r w:rsidR="00C61B07">
        <w:rPr>
          <w:sz w:val="24"/>
          <w:szCs w:val="24"/>
        </w:rPr>
        <w:t>.</w:t>
      </w:r>
    </w:p>
    <w:p w14:paraId="791E9210" w14:textId="77777777" w:rsidR="00E27052" w:rsidRDefault="00E27052" w:rsidP="00DE10C5">
      <w:pPr>
        <w:pStyle w:val="Heading2"/>
      </w:pPr>
    </w:p>
    <w:p w14:paraId="6AA024E4" w14:textId="25195C10" w:rsidR="00300A50" w:rsidRDefault="00DE10C5" w:rsidP="00DE10C5">
      <w:pPr>
        <w:pStyle w:val="Heading2"/>
      </w:pPr>
      <w:r>
        <w:t xml:space="preserve">Electric and Natural Gas General Rate Case – </w:t>
      </w:r>
      <w:r w:rsidR="0036785B">
        <w:t xml:space="preserve">Docket </w:t>
      </w:r>
      <w:r w:rsidR="00175CBA">
        <w:t>2022.07.078</w:t>
      </w:r>
    </w:p>
    <w:p w14:paraId="7D7E0536" w14:textId="1399866C" w:rsidR="00175CBA" w:rsidRDefault="00B839F7" w:rsidP="00CB6A79">
      <w:pPr>
        <w:pStyle w:val="ListParagraph"/>
        <w:numPr>
          <w:ilvl w:val="0"/>
          <w:numId w:val="5"/>
        </w:numPr>
        <w:rPr>
          <w:sz w:val="24"/>
          <w:szCs w:val="24"/>
        </w:rPr>
      </w:pPr>
      <w:r>
        <w:rPr>
          <w:sz w:val="24"/>
          <w:szCs w:val="24"/>
        </w:rPr>
        <w:t xml:space="preserve">In </w:t>
      </w:r>
      <w:r w:rsidR="00175CBA">
        <w:rPr>
          <w:sz w:val="24"/>
          <w:szCs w:val="24"/>
        </w:rPr>
        <w:t>August</w:t>
      </w:r>
      <w:r>
        <w:rPr>
          <w:sz w:val="24"/>
          <w:szCs w:val="24"/>
        </w:rPr>
        <w:t xml:space="preserve"> </w:t>
      </w:r>
      <w:r w:rsidR="00175CBA">
        <w:rPr>
          <w:sz w:val="24"/>
          <w:szCs w:val="24"/>
        </w:rPr>
        <w:t xml:space="preserve">2022 NorthWestern filed its application for authority to </w:t>
      </w:r>
      <w:r w:rsidR="00865CF3">
        <w:rPr>
          <w:sz w:val="24"/>
          <w:szCs w:val="24"/>
        </w:rPr>
        <w:t>i</w:t>
      </w:r>
      <w:r w:rsidR="00175CBA">
        <w:rPr>
          <w:sz w:val="24"/>
          <w:szCs w:val="24"/>
        </w:rPr>
        <w:t>ncrease retail electric and natural gas service rates.</w:t>
      </w:r>
    </w:p>
    <w:p w14:paraId="185F9F0E" w14:textId="467EACED" w:rsidR="001B1E85" w:rsidRDefault="00175CBA" w:rsidP="00CB6A79">
      <w:pPr>
        <w:pStyle w:val="ListParagraph"/>
        <w:numPr>
          <w:ilvl w:val="0"/>
          <w:numId w:val="5"/>
        </w:numPr>
        <w:rPr>
          <w:sz w:val="24"/>
          <w:szCs w:val="24"/>
        </w:rPr>
      </w:pPr>
      <w:r>
        <w:rPr>
          <w:sz w:val="24"/>
          <w:szCs w:val="24"/>
        </w:rPr>
        <w:t>NorthWestern propose</w:t>
      </w:r>
      <w:r w:rsidR="006D745C">
        <w:rPr>
          <w:sz w:val="24"/>
          <w:szCs w:val="24"/>
        </w:rPr>
        <w:t>d</w:t>
      </w:r>
      <w:r>
        <w:rPr>
          <w:sz w:val="24"/>
          <w:szCs w:val="24"/>
        </w:rPr>
        <w:t xml:space="preserve"> to increase rates for electric service by $17</w:t>
      </w:r>
      <w:r w:rsidR="00C61B07">
        <w:rPr>
          <w:sz w:val="24"/>
          <w:szCs w:val="24"/>
        </w:rPr>
        <w:t>1 million,</w:t>
      </w:r>
      <w:r>
        <w:rPr>
          <w:sz w:val="24"/>
          <w:szCs w:val="24"/>
        </w:rPr>
        <w:t xml:space="preserve"> of which $9</w:t>
      </w:r>
      <w:r w:rsidR="00C61B07">
        <w:rPr>
          <w:sz w:val="24"/>
          <w:szCs w:val="24"/>
        </w:rPr>
        <w:t>2 million</w:t>
      </w:r>
      <w:r>
        <w:rPr>
          <w:sz w:val="24"/>
          <w:szCs w:val="24"/>
        </w:rPr>
        <w:t xml:space="preserve"> reflect</w:t>
      </w:r>
      <w:r w:rsidR="006D745C">
        <w:rPr>
          <w:sz w:val="24"/>
          <w:szCs w:val="24"/>
        </w:rPr>
        <w:t>ed</w:t>
      </w:r>
      <w:r>
        <w:rPr>
          <w:sz w:val="24"/>
          <w:szCs w:val="24"/>
        </w:rPr>
        <w:t xml:space="preserve"> an increas</w:t>
      </w:r>
      <w:r w:rsidR="001B1E85">
        <w:rPr>
          <w:sz w:val="24"/>
          <w:szCs w:val="24"/>
        </w:rPr>
        <w:t>e</w:t>
      </w:r>
      <w:r>
        <w:rPr>
          <w:sz w:val="24"/>
          <w:szCs w:val="24"/>
        </w:rPr>
        <w:t xml:space="preserve"> </w:t>
      </w:r>
      <w:r w:rsidR="001B1E85">
        <w:rPr>
          <w:sz w:val="24"/>
          <w:szCs w:val="24"/>
        </w:rPr>
        <w:t>to base revenue requirements and $79</w:t>
      </w:r>
      <w:r w:rsidR="00C61B07">
        <w:rPr>
          <w:sz w:val="24"/>
          <w:szCs w:val="24"/>
        </w:rPr>
        <w:t xml:space="preserve"> million</w:t>
      </w:r>
      <w:r w:rsidR="001B1E85">
        <w:rPr>
          <w:sz w:val="24"/>
          <w:szCs w:val="24"/>
        </w:rPr>
        <w:t xml:space="preserve"> reflect</w:t>
      </w:r>
      <w:r w:rsidR="006D745C">
        <w:rPr>
          <w:sz w:val="24"/>
          <w:szCs w:val="24"/>
        </w:rPr>
        <w:t>ed</w:t>
      </w:r>
      <w:r w:rsidR="001B1E85">
        <w:rPr>
          <w:sz w:val="24"/>
          <w:szCs w:val="24"/>
        </w:rPr>
        <w:t xml:space="preserve"> pass-through supply and property tax costs.</w:t>
      </w:r>
    </w:p>
    <w:p w14:paraId="146BD09C" w14:textId="32708180" w:rsidR="00850066" w:rsidRDefault="001B1E85" w:rsidP="00CB6A79">
      <w:pPr>
        <w:pStyle w:val="ListParagraph"/>
        <w:numPr>
          <w:ilvl w:val="0"/>
          <w:numId w:val="5"/>
        </w:numPr>
        <w:rPr>
          <w:sz w:val="24"/>
          <w:szCs w:val="24"/>
        </w:rPr>
      </w:pPr>
      <w:r>
        <w:rPr>
          <w:sz w:val="24"/>
          <w:szCs w:val="24"/>
        </w:rPr>
        <w:t>NorthWestern propose</w:t>
      </w:r>
      <w:r w:rsidR="006D745C">
        <w:rPr>
          <w:sz w:val="24"/>
          <w:szCs w:val="24"/>
        </w:rPr>
        <w:t>d</w:t>
      </w:r>
      <w:r>
        <w:rPr>
          <w:sz w:val="24"/>
          <w:szCs w:val="24"/>
        </w:rPr>
        <w:t xml:space="preserve"> to increase rates for natural gas service by $2</w:t>
      </w:r>
      <w:r w:rsidR="00C61B07">
        <w:rPr>
          <w:sz w:val="24"/>
          <w:szCs w:val="24"/>
        </w:rPr>
        <w:t>3 million,</w:t>
      </w:r>
      <w:r>
        <w:rPr>
          <w:sz w:val="24"/>
          <w:szCs w:val="24"/>
        </w:rPr>
        <w:t xml:space="preserve"> of which $20</w:t>
      </w:r>
      <w:r w:rsidR="00C61B07">
        <w:rPr>
          <w:sz w:val="24"/>
          <w:szCs w:val="24"/>
        </w:rPr>
        <w:t xml:space="preserve"> million</w:t>
      </w:r>
      <w:r>
        <w:rPr>
          <w:sz w:val="24"/>
          <w:szCs w:val="24"/>
        </w:rPr>
        <w:t xml:space="preserve"> reflect</w:t>
      </w:r>
      <w:r w:rsidR="006D745C">
        <w:rPr>
          <w:sz w:val="24"/>
          <w:szCs w:val="24"/>
        </w:rPr>
        <w:t>ed</w:t>
      </w:r>
      <w:r>
        <w:rPr>
          <w:sz w:val="24"/>
          <w:szCs w:val="24"/>
        </w:rPr>
        <w:t xml:space="preserve"> an increase to base </w:t>
      </w:r>
      <w:r w:rsidR="00850066">
        <w:rPr>
          <w:sz w:val="24"/>
          <w:szCs w:val="24"/>
        </w:rPr>
        <w:t>revenue requirements, and $</w:t>
      </w:r>
      <w:r w:rsidR="00C61B07">
        <w:rPr>
          <w:sz w:val="24"/>
          <w:szCs w:val="24"/>
        </w:rPr>
        <w:t>3 million</w:t>
      </w:r>
      <w:r w:rsidR="00850066">
        <w:rPr>
          <w:sz w:val="24"/>
          <w:szCs w:val="24"/>
        </w:rPr>
        <w:t xml:space="preserve"> reflect</w:t>
      </w:r>
      <w:r w:rsidR="006D745C">
        <w:rPr>
          <w:sz w:val="24"/>
          <w:szCs w:val="24"/>
        </w:rPr>
        <w:t>ed</w:t>
      </w:r>
      <w:r w:rsidR="00850066">
        <w:rPr>
          <w:sz w:val="24"/>
          <w:szCs w:val="24"/>
        </w:rPr>
        <w:t xml:space="preserve"> updated property taxes.</w:t>
      </w:r>
    </w:p>
    <w:p w14:paraId="4CDCBC90" w14:textId="7497D434" w:rsidR="00850066" w:rsidRDefault="006D745C" w:rsidP="00CB6A79">
      <w:pPr>
        <w:pStyle w:val="ListParagraph"/>
        <w:numPr>
          <w:ilvl w:val="0"/>
          <w:numId w:val="5"/>
        </w:numPr>
        <w:rPr>
          <w:sz w:val="24"/>
          <w:szCs w:val="24"/>
        </w:rPr>
      </w:pPr>
      <w:r>
        <w:rPr>
          <w:sz w:val="24"/>
          <w:szCs w:val="24"/>
        </w:rPr>
        <w:t xml:space="preserve">As filed, NorthWestern’s application would have increased the bill of </w:t>
      </w:r>
      <w:r w:rsidR="00850066">
        <w:rPr>
          <w:sz w:val="24"/>
          <w:szCs w:val="24"/>
        </w:rPr>
        <w:t xml:space="preserve">a residential </w:t>
      </w:r>
      <w:r w:rsidR="00C61B07">
        <w:rPr>
          <w:sz w:val="24"/>
          <w:szCs w:val="24"/>
        </w:rPr>
        <w:t xml:space="preserve">electric </w:t>
      </w:r>
      <w:r w:rsidR="00850066">
        <w:rPr>
          <w:sz w:val="24"/>
          <w:szCs w:val="24"/>
        </w:rPr>
        <w:t xml:space="preserve">customer using an average of 750 kWh per month </w:t>
      </w:r>
      <w:r>
        <w:rPr>
          <w:sz w:val="24"/>
          <w:szCs w:val="24"/>
        </w:rPr>
        <w:t xml:space="preserve">by </w:t>
      </w:r>
      <w:r w:rsidR="00850066">
        <w:rPr>
          <w:sz w:val="24"/>
          <w:szCs w:val="24"/>
        </w:rPr>
        <w:t xml:space="preserve">$22.76 or 25.6%. A residential natural gas customer using an average of 65 </w:t>
      </w:r>
      <w:proofErr w:type="spellStart"/>
      <w:r w:rsidR="00850066">
        <w:rPr>
          <w:sz w:val="24"/>
          <w:szCs w:val="24"/>
        </w:rPr>
        <w:t>therms</w:t>
      </w:r>
      <w:proofErr w:type="spellEnd"/>
      <w:r w:rsidR="00850066">
        <w:rPr>
          <w:sz w:val="24"/>
          <w:szCs w:val="24"/>
        </w:rPr>
        <w:t xml:space="preserve"> per month would </w:t>
      </w:r>
      <w:r>
        <w:rPr>
          <w:sz w:val="24"/>
          <w:szCs w:val="24"/>
        </w:rPr>
        <w:t xml:space="preserve">have </w:t>
      </w:r>
      <w:r w:rsidR="00850066">
        <w:rPr>
          <w:sz w:val="24"/>
          <w:szCs w:val="24"/>
        </w:rPr>
        <w:t>see</w:t>
      </w:r>
      <w:r>
        <w:rPr>
          <w:sz w:val="24"/>
          <w:szCs w:val="24"/>
        </w:rPr>
        <w:t>n</w:t>
      </w:r>
      <w:r w:rsidR="00850066">
        <w:rPr>
          <w:sz w:val="24"/>
          <w:szCs w:val="24"/>
        </w:rPr>
        <w:t xml:space="preserve"> a total monthly bill increase of $7.57 or 11.1%</w:t>
      </w:r>
    </w:p>
    <w:p w14:paraId="7A9621AA" w14:textId="47409781" w:rsidR="00EC62B3" w:rsidRDefault="00DE10C5" w:rsidP="00CB6A79">
      <w:pPr>
        <w:pStyle w:val="ListParagraph"/>
        <w:numPr>
          <w:ilvl w:val="0"/>
          <w:numId w:val="5"/>
        </w:numPr>
        <w:rPr>
          <w:sz w:val="24"/>
          <w:szCs w:val="24"/>
        </w:rPr>
      </w:pPr>
      <w:r w:rsidRPr="00B10975">
        <w:rPr>
          <w:sz w:val="24"/>
          <w:szCs w:val="24"/>
        </w:rPr>
        <w:t>NorthWestern</w:t>
      </w:r>
      <w:r w:rsidR="00B10975" w:rsidRPr="00B10975">
        <w:rPr>
          <w:sz w:val="24"/>
          <w:szCs w:val="24"/>
        </w:rPr>
        <w:t xml:space="preserve">’s application </w:t>
      </w:r>
      <w:r w:rsidR="00EC62B3">
        <w:rPr>
          <w:sz w:val="24"/>
          <w:szCs w:val="24"/>
        </w:rPr>
        <w:t>request</w:t>
      </w:r>
      <w:r w:rsidR="006D745C">
        <w:rPr>
          <w:sz w:val="24"/>
          <w:szCs w:val="24"/>
        </w:rPr>
        <w:t>ed</w:t>
      </w:r>
      <w:r w:rsidR="00EC62B3">
        <w:rPr>
          <w:sz w:val="24"/>
          <w:szCs w:val="24"/>
        </w:rPr>
        <w:t xml:space="preserve"> rates sufficient to yield a 10.6% return on stockholders’ equity</w:t>
      </w:r>
      <w:r w:rsidR="00F548A7">
        <w:rPr>
          <w:sz w:val="24"/>
          <w:szCs w:val="24"/>
        </w:rPr>
        <w:t xml:space="preserve"> for the adjusted test period</w:t>
      </w:r>
      <w:r w:rsidR="00EC62B3">
        <w:rPr>
          <w:sz w:val="24"/>
          <w:szCs w:val="24"/>
        </w:rPr>
        <w:t>.</w:t>
      </w:r>
    </w:p>
    <w:p w14:paraId="40715D7B" w14:textId="3E5C924D" w:rsidR="005B2EF1" w:rsidRDefault="009D4B54" w:rsidP="00CB6A79">
      <w:pPr>
        <w:pStyle w:val="ListParagraph"/>
        <w:numPr>
          <w:ilvl w:val="0"/>
          <w:numId w:val="5"/>
        </w:numPr>
        <w:rPr>
          <w:sz w:val="24"/>
          <w:szCs w:val="24"/>
        </w:rPr>
      </w:pPr>
      <w:r>
        <w:rPr>
          <w:sz w:val="24"/>
          <w:szCs w:val="24"/>
        </w:rPr>
        <w:t>Thirteen parties</w:t>
      </w:r>
      <w:r w:rsidR="005B2EF1">
        <w:rPr>
          <w:sz w:val="24"/>
          <w:szCs w:val="24"/>
        </w:rPr>
        <w:t xml:space="preserve"> petition</w:t>
      </w:r>
      <w:r>
        <w:rPr>
          <w:sz w:val="24"/>
          <w:szCs w:val="24"/>
        </w:rPr>
        <w:t>ed</w:t>
      </w:r>
      <w:r w:rsidR="005B2EF1">
        <w:rPr>
          <w:sz w:val="24"/>
          <w:szCs w:val="24"/>
        </w:rPr>
        <w:t xml:space="preserve"> to intervene</w:t>
      </w:r>
      <w:r w:rsidR="00A6767A">
        <w:rPr>
          <w:sz w:val="24"/>
          <w:szCs w:val="24"/>
        </w:rPr>
        <w:t xml:space="preserve"> </w:t>
      </w:r>
      <w:r>
        <w:rPr>
          <w:sz w:val="24"/>
          <w:szCs w:val="24"/>
        </w:rPr>
        <w:t>in the case, including</w:t>
      </w:r>
      <w:r w:rsidR="005B2EF1">
        <w:rPr>
          <w:sz w:val="24"/>
          <w:szCs w:val="24"/>
        </w:rPr>
        <w:t xml:space="preserve">: </w:t>
      </w:r>
      <w:r>
        <w:rPr>
          <w:sz w:val="24"/>
          <w:szCs w:val="24"/>
        </w:rPr>
        <w:t xml:space="preserve">Montana </w:t>
      </w:r>
      <w:r w:rsidR="005B2EF1">
        <w:rPr>
          <w:sz w:val="24"/>
          <w:szCs w:val="24"/>
        </w:rPr>
        <w:t>C</w:t>
      </w:r>
      <w:r w:rsidR="00254713">
        <w:rPr>
          <w:sz w:val="24"/>
          <w:szCs w:val="24"/>
        </w:rPr>
        <w:t xml:space="preserve">onsumer </w:t>
      </w:r>
      <w:r w:rsidR="005B2EF1">
        <w:rPr>
          <w:sz w:val="24"/>
          <w:szCs w:val="24"/>
        </w:rPr>
        <w:t>C</w:t>
      </w:r>
      <w:r w:rsidR="00254713">
        <w:rPr>
          <w:sz w:val="24"/>
          <w:szCs w:val="24"/>
        </w:rPr>
        <w:t>ounsel</w:t>
      </w:r>
      <w:r w:rsidR="005B2EF1">
        <w:rPr>
          <w:sz w:val="24"/>
          <w:szCs w:val="24"/>
        </w:rPr>
        <w:t>, Federal Executive Agencies, Jefferson Energy Trading, Montana Large Customer Group, Montana Environmental Information Center</w:t>
      </w:r>
      <w:r w:rsidR="00D96426">
        <w:rPr>
          <w:sz w:val="24"/>
          <w:szCs w:val="24"/>
        </w:rPr>
        <w:t xml:space="preserve">, Colstrip Energy Limited Partnership, </w:t>
      </w:r>
      <w:r w:rsidR="00F45EFB">
        <w:rPr>
          <w:sz w:val="24"/>
          <w:szCs w:val="24"/>
        </w:rPr>
        <w:t>350 Montana, Broad Reach Power</w:t>
      </w:r>
      <w:r w:rsidR="006E5FD1">
        <w:rPr>
          <w:sz w:val="24"/>
          <w:szCs w:val="24"/>
        </w:rPr>
        <w:t>, Natural Resources Defense Council</w:t>
      </w:r>
      <w:r w:rsidR="00254713">
        <w:rPr>
          <w:sz w:val="24"/>
          <w:szCs w:val="24"/>
        </w:rPr>
        <w:t xml:space="preserve"> (jointly with District XI HRC and Northwest Energy Coalition)</w:t>
      </w:r>
      <w:r w:rsidR="006E5FD1">
        <w:rPr>
          <w:sz w:val="24"/>
          <w:szCs w:val="24"/>
        </w:rPr>
        <w:t>, Renewable North</w:t>
      </w:r>
      <w:r w:rsidR="00254713">
        <w:rPr>
          <w:sz w:val="24"/>
          <w:szCs w:val="24"/>
        </w:rPr>
        <w:t>w</w:t>
      </w:r>
      <w:r w:rsidR="006E5FD1">
        <w:rPr>
          <w:sz w:val="24"/>
          <w:szCs w:val="24"/>
        </w:rPr>
        <w:t>est</w:t>
      </w:r>
      <w:r>
        <w:rPr>
          <w:sz w:val="24"/>
          <w:szCs w:val="24"/>
        </w:rPr>
        <w:t>, and Walmart</w:t>
      </w:r>
      <w:r w:rsidR="00A6767A">
        <w:rPr>
          <w:sz w:val="24"/>
          <w:szCs w:val="24"/>
        </w:rPr>
        <w:t>.</w:t>
      </w:r>
      <w:r w:rsidR="000663F5">
        <w:rPr>
          <w:sz w:val="24"/>
          <w:szCs w:val="24"/>
        </w:rPr>
        <w:t xml:space="preserve"> The petitions were granted.</w:t>
      </w:r>
    </w:p>
    <w:p w14:paraId="5AC1AEA5" w14:textId="3D389618" w:rsidR="00CB52EF" w:rsidRDefault="00CB52EF" w:rsidP="00CB6A79">
      <w:pPr>
        <w:pStyle w:val="ListParagraph"/>
        <w:numPr>
          <w:ilvl w:val="0"/>
          <w:numId w:val="5"/>
        </w:numPr>
        <w:rPr>
          <w:sz w:val="24"/>
          <w:szCs w:val="24"/>
        </w:rPr>
      </w:pPr>
      <w:r>
        <w:rPr>
          <w:sz w:val="24"/>
          <w:szCs w:val="24"/>
        </w:rPr>
        <w:t>NorthWestern requested interim rates sufficient to recover an addition</w:t>
      </w:r>
      <w:r w:rsidR="00DD5283">
        <w:rPr>
          <w:sz w:val="24"/>
          <w:szCs w:val="24"/>
        </w:rPr>
        <w:t>al</w:t>
      </w:r>
      <w:r>
        <w:rPr>
          <w:sz w:val="24"/>
          <w:szCs w:val="24"/>
        </w:rPr>
        <w:t xml:space="preserve"> $120</w:t>
      </w:r>
      <w:r w:rsidR="009D4B54">
        <w:rPr>
          <w:sz w:val="24"/>
          <w:szCs w:val="24"/>
        </w:rPr>
        <w:t xml:space="preserve"> million</w:t>
      </w:r>
      <w:r>
        <w:rPr>
          <w:sz w:val="24"/>
          <w:szCs w:val="24"/>
        </w:rPr>
        <w:t xml:space="preserve"> from electric customers and $</w:t>
      </w:r>
      <w:r w:rsidR="009D4B54">
        <w:rPr>
          <w:sz w:val="24"/>
          <w:szCs w:val="24"/>
        </w:rPr>
        <w:t>6 million</w:t>
      </w:r>
      <w:r>
        <w:rPr>
          <w:sz w:val="24"/>
          <w:szCs w:val="24"/>
        </w:rPr>
        <w:t xml:space="preserve"> from gas customers.</w:t>
      </w:r>
    </w:p>
    <w:p w14:paraId="4A88AEE5" w14:textId="2B188917" w:rsidR="006D745C" w:rsidRDefault="009D4B54" w:rsidP="00CB6A79">
      <w:pPr>
        <w:pStyle w:val="ListParagraph"/>
        <w:numPr>
          <w:ilvl w:val="0"/>
          <w:numId w:val="5"/>
        </w:numPr>
        <w:rPr>
          <w:sz w:val="24"/>
          <w:szCs w:val="24"/>
        </w:rPr>
      </w:pPr>
      <w:r>
        <w:rPr>
          <w:sz w:val="24"/>
          <w:szCs w:val="24"/>
        </w:rPr>
        <w:t xml:space="preserve">In </w:t>
      </w:r>
      <w:r w:rsidR="006D745C">
        <w:rPr>
          <w:sz w:val="24"/>
          <w:szCs w:val="24"/>
        </w:rPr>
        <w:t>October 2022 the Commission issued Interim Order 7680c</w:t>
      </w:r>
      <w:r>
        <w:rPr>
          <w:sz w:val="24"/>
          <w:szCs w:val="24"/>
        </w:rPr>
        <w:t xml:space="preserve"> authorizing </w:t>
      </w:r>
      <w:r w:rsidR="006D745C">
        <w:rPr>
          <w:sz w:val="24"/>
          <w:szCs w:val="24"/>
        </w:rPr>
        <w:t xml:space="preserve">NorthWestern to </w:t>
      </w:r>
      <w:r w:rsidR="000E603E">
        <w:rPr>
          <w:sz w:val="24"/>
          <w:szCs w:val="24"/>
        </w:rPr>
        <w:t>recover increased revenues of $29</w:t>
      </w:r>
      <w:r>
        <w:rPr>
          <w:sz w:val="24"/>
          <w:szCs w:val="24"/>
        </w:rPr>
        <w:t xml:space="preserve"> million</w:t>
      </w:r>
      <w:r w:rsidR="000E603E">
        <w:rPr>
          <w:sz w:val="24"/>
          <w:szCs w:val="24"/>
        </w:rPr>
        <w:t xml:space="preserve"> and $</w:t>
      </w:r>
      <w:r>
        <w:rPr>
          <w:sz w:val="24"/>
          <w:szCs w:val="24"/>
        </w:rPr>
        <w:t>2 million</w:t>
      </w:r>
      <w:r w:rsidR="000E603E">
        <w:rPr>
          <w:sz w:val="24"/>
          <w:szCs w:val="24"/>
        </w:rPr>
        <w:t xml:space="preserve"> for its electric and natural gas utility operations, respectively. </w:t>
      </w:r>
      <w:r>
        <w:rPr>
          <w:sz w:val="24"/>
          <w:szCs w:val="24"/>
        </w:rPr>
        <w:t>T</w:t>
      </w:r>
      <w:r w:rsidR="000E603E">
        <w:rPr>
          <w:sz w:val="24"/>
          <w:szCs w:val="24"/>
        </w:rPr>
        <w:t xml:space="preserve">he Commission authorized an increase in </w:t>
      </w:r>
      <w:r>
        <w:rPr>
          <w:sz w:val="24"/>
          <w:szCs w:val="24"/>
        </w:rPr>
        <w:t xml:space="preserve">electric </w:t>
      </w:r>
      <w:r w:rsidR="000E603E">
        <w:rPr>
          <w:sz w:val="24"/>
          <w:szCs w:val="24"/>
        </w:rPr>
        <w:t>PCCAM base revenue of $61</w:t>
      </w:r>
      <w:r>
        <w:rPr>
          <w:sz w:val="24"/>
          <w:szCs w:val="24"/>
        </w:rPr>
        <w:t xml:space="preserve"> million</w:t>
      </w:r>
      <w:r w:rsidR="000E603E">
        <w:rPr>
          <w:sz w:val="24"/>
          <w:szCs w:val="24"/>
        </w:rPr>
        <w:t>.</w:t>
      </w:r>
    </w:p>
    <w:p w14:paraId="77856007" w14:textId="674FFDF0" w:rsidR="000E603E" w:rsidRDefault="00984C99" w:rsidP="00CB6A79">
      <w:pPr>
        <w:pStyle w:val="ListParagraph"/>
        <w:numPr>
          <w:ilvl w:val="0"/>
          <w:numId w:val="5"/>
        </w:numPr>
        <w:rPr>
          <w:sz w:val="24"/>
          <w:szCs w:val="24"/>
        </w:rPr>
      </w:pPr>
      <w:r>
        <w:rPr>
          <w:sz w:val="24"/>
          <w:szCs w:val="24"/>
        </w:rPr>
        <w:t>I</w:t>
      </w:r>
      <w:r w:rsidR="000E603E">
        <w:rPr>
          <w:sz w:val="24"/>
          <w:szCs w:val="24"/>
        </w:rPr>
        <w:t xml:space="preserve">n April 2023 the Commission received a joint motion to approve a settlement agreement by NorthWestern, Consumer Counsel, Large Customer Group, Federal Executive Agencies, and Walmart. The settling parties comprise all parties that </w:t>
      </w:r>
      <w:r w:rsidR="009D4B54">
        <w:rPr>
          <w:sz w:val="24"/>
          <w:szCs w:val="24"/>
        </w:rPr>
        <w:t xml:space="preserve">addressed </w:t>
      </w:r>
      <w:r w:rsidR="000E603E">
        <w:rPr>
          <w:sz w:val="24"/>
          <w:szCs w:val="24"/>
        </w:rPr>
        <w:t>revenue requirements, cost allocation, and rate design.</w:t>
      </w:r>
    </w:p>
    <w:p w14:paraId="6239C225" w14:textId="6E421106" w:rsidR="00B43847" w:rsidRDefault="009D4B54" w:rsidP="00CB6A79">
      <w:pPr>
        <w:pStyle w:val="ListParagraph"/>
        <w:numPr>
          <w:ilvl w:val="0"/>
          <w:numId w:val="5"/>
        </w:numPr>
        <w:rPr>
          <w:sz w:val="24"/>
          <w:szCs w:val="24"/>
        </w:rPr>
      </w:pPr>
      <w:r>
        <w:rPr>
          <w:sz w:val="24"/>
          <w:szCs w:val="24"/>
        </w:rPr>
        <w:t>The</w:t>
      </w:r>
      <w:r w:rsidR="00984C99">
        <w:rPr>
          <w:sz w:val="24"/>
          <w:szCs w:val="24"/>
        </w:rPr>
        <w:t xml:space="preserve"> </w:t>
      </w:r>
      <w:r w:rsidR="00B43847">
        <w:rPr>
          <w:sz w:val="24"/>
          <w:szCs w:val="24"/>
        </w:rPr>
        <w:t xml:space="preserve">settlement </w:t>
      </w:r>
      <w:r>
        <w:rPr>
          <w:sz w:val="24"/>
          <w:szCs w:val="24"/>
        </w:rPr>
        <w:t xml:space="preserve">reflected an </w:t>
      </w:r>
      <w:r w:rsidR="00313ECA">
        <w:rPr>
          <w:sz w:val="24"/>
          <w:szCs w:val="24"/>
        </w:rPr>
        <w:t xml:space="preserve">increase </w:t>
      </w:r>
      <w:r>
        <w:rPr>
          <w:sz w:val="24"/>
          <w:szCs w:val="24"/>
        </w:rPr>
        <w:t xml:space="preserve">in </w:t>
      </w:r>
      <w:r w:rsidR="00984C99">
        <w:rPr>
          <w:sz w:val="24"/>
          <w:szCs w:val="24"/>
        </w:rPr>
        <w:t xml:space="preserve">electric revenue </w:t>
      </w:r>
      <w:r>
        <w:rPr>
          <w:sz w:val="24"/>
          <w:szCs w:val="24"/>
        </w:rPr>
        <w:t xml:space="preserve">of </w:t>
      </w:r>
      <w:r w:rsidR="00313ECA">
        <w:rPr>
          <w:sz w:val="24"/>
          <w:szCs w:val="24"/>
        </w:rPr>
        <w:t>$81</w:t>
      </w:r>
      <w:r>
        <w:rPr>
          <w:sz w:val="24"/>
          <w:szCs w:val="24"/>
        </w:rPr>
        <w:t>.</w:t>
      </w:r>
      <w:r w:rsidR="00313ECA">
        <w:rPr>
          <w:sz w:val="24"/>
          <w:szCs w:val="24"/>
        </w:rPr>
        <w:t>9</w:t>
      </w:r>
      <w:r>
        <w:rPr>
          <w:sz w:val="24"/>
          <w:szCs w:val="24"/>
        </w:rPr>
        <w:t xml:space="preserve"> million</w:t>
      </w:r>
      <w:r w:rsidR="00313ECA">
        <w:rPr>
          <w:sz w:val="24"/>
          <w:szCs w:val="24"/>
        </w:rPr>
        <w:t xml:space="preserve"> and </w:t>
      </w:r>
      <w:r>
        <w:rPr>
          <w:sz w:val="24"/>
          <w:szCs w:val="24"/>
        </w:rPr>
        <w:t xml:space="preserve">an increase in </w:t>
      </w:r>
      <w:r w:rsidR="00984C99">
        <w:rPr>
          <w:sz w:val="24"/>
          <w:szCs w:val="24"/>
        </w:rPr>
        <w:t xml:space="preserve">natural gas revenue </w:t>
      </w:r>
      <w:r>
        <w:rPr>
          <w:sz w:val="24"/>
          <w:szCs w:val="24"/>
        </w:rPr>
        <w:t xml:space="preserve">of </w:t>
      </w:r>
      <w:r w:rsidR="00313ECA">
        <w:rPr>
          <w:sz w:val="24"/>
          <w:szCs w:val="24"/>
        </w:rPr>
        <w:t>$18</w:t>
      </w:r>
      <w:r>
        <w:rPr>
          <w:sz w:val="24"/>
          <w:szCs w:val="24"/>
        </w:rPr>
        <w:t xml:space="preserve"> million</w:t>
      </w:r>
      <w:r w:rsidR="00313ECA">
        <w:rPr>
          <w:sz w:val="24"/>
          <w:szCs w:val="24"/>
        </w:rPr>
        <w:t xml:space="preserve">. The </w:t>
      </w:r>
      <w:r w:rsidR="00984C99">
        <w:rPr>
          <w:sz w:val="24"/>
          <w:szCs w:val="24"/>
        </w:rPr>
        <w:t>settlement specifie</w:t>
      </w:r>
      <w:r>
        <w:rPr>
          <w:sz w:val="24"/>
          <w:szCs w:val="24"/>
        </w:rPr>
        <w:t>d</w:t>
      </w:r>
      <w:r w:rsidR="00984C99">
        <w:rPr>
          <w:sz w:val="24"/>
          <w:szCs w:val="24"/>
        </w:rPr>
        <w:t xml:space="preserve"> </w:t>
      </w:r>
      <w:r>
        <w:rPr>
          <w:sz w:val="24"/>
          <w:szCs w:val="24"/>
        </w:rPr>
        <w:t xml:space="preserve">customer </w:t>
      </w:r>
      <w:r w:rsidR="00313ECA">
        <w:rPr>
          <w:sz w:val="24"/>
          <w:szCs w:val="24"/>
        </w:rPr>
        <w:t xml:space="preserve">class revenue </w:t>
      </w:r>
      <w:r>
        <w:rPr>
          <w:sz w:val="24"/>
          <w:szCs w:val="24"/>
        </w:rPr>
        <w:t xml:space="preserve">responsibilities </w:t>
      </w:r>
      <w:r w:rsidR="00313ECA">
        <w:rPr>
          <w:sz w:val="24"/>
          <w:szCs w:val="24"/>
        </w:rPr>
        <w:t xml:space="preserve">that </w:t>
      </w:r>
      <w:r>
        <w:rPr>
          <w:sz w:val="24"/>
          <w:szCs w:val="24"/>
        </w:rPr>
        <w:t xml:space="preserve">equated to </w:t>
      </w:r>
      <w:r w:rsidR="0060177A">
        <w:rPr>
          <w:sz w:val="24"/>
          <w:szCs w:val="24"/>
        </w:rPr>
        <w:t xml:space="preserve">a </w:t>
      </w:r>
      <w:r w:rsidR="00472CAF">
        <w:rPr>
          <w:sz w:val="24"/>
          <w:szCs w:val="24"/>
        </w:rPr>
        <w:t xml:space="preserve">monthly </w:t>
      </w:r>
      <w:r w:rsidR="00313ECA">
        <w:rPr>
          <w:sz w:val="24"/>
          <w:szCs w:val="24"/>
        </w:rPr>
        <w:t>bill increase for a typical electric residential customer of 1</w:t>
      </w:r>
      <w:r w:rsidR="00B9144F">
        <w:rPr>
          <w:sz w:val="24"/>
          <w:szCs w:val="24"/>
        </w:rPr>
        <w:t>4</w:t>
      </w:r>
      <w:r w:rsidR="00313ECA">
        <w:rPr>
          <w:sz w:val="24"/>
          <w:szCs w:val="24"/>
        </w:rPr>
        <w:t xml:space="preserve">% </w:t>
      </w:r>
      <w:r w:rsidR="00472CAF">
        <w:rPr>
          <w:sz w:val="24"/>
          <w:szCs w:val="24"/>
        </w:rPr>
        <w:t xml:space="preserve">or </w:t>
      </w:r>
      <w:r w:rsidR="0049704B">
        <w:rPr>
          <w:sz w:val="24"/>
          <w:szCs w:val="24"/>
        </w:rPr>
        <w:t>$12.</w:t>
      </w:r>
      <w:r w:rsidR="00B9144F">
        <w:rPr>
          <w:sz w:val="24"/>
          <w:szCs w:val="24"/>
        </w:rPr>
        <w:t>60</w:t>
      </w:r>
      <w:r w:rsidR="0049704B">
        <w:rPr>
          <w:sz w:val="24"/>
          <w:szCs w:val="24"/>
        </w:rPr>
        <w:t xml:space="preserve"> </w:t>
      </w:r>
      <w:r w:rsidR="00313ECA">
        <w:rPr>
          <w:sz w:val="24"/>
          <w:szCs w:val="24"/>
        </w:rPr>
        <w:t xml:space="preserve">and </w:t>
      </w:r>
      <w:r w:rsidR="0060177A">
        <w:rPr>
          <w:sz w:val="24"/>
          <w:szCs w:val="24"/>
        </w:rPr>
        <w:t xml:space="preserve">a </w:t>
      </w:r>
      <w:r w:rsidR="00472CAF">
        <w:rPr>
          <w:sz w:val="24"/>
          <w:szCs w:val="24"/>
        </w:rPr>
        <w:t xml:space="preserve">monthly bill increases for a typical natural gas residential customer of </w:t>
      </w:r>
      <w:r w:rsidR="00313ECA" w:rsidRPr="0090196B">
        <w:rPr>
          <w:sz w:val="24"/>
          <w:szCs w:val="24"/>
        </w:rPr>
        <w:t>1</w:t>
      </w:r>
      <w:r w:rsidR="0090196B" w:rsidRPr="0090196B">
        <w:rPr>
          <w:sz w:val="24"/>
          <w:szCs w:val="24"/>
        </w:rPr>
        <w:t>2</w:t>
      </w:r>
      <w:r w:rsidR="00313ECA" w:rsidRPr="0090196B">
        <w:rPr>
          <w:sz w:val="24"/>
          <w:szCs w:val="24"/>
        </w:rPr>
        <w:t xml:space="preserve">% </w:t>
      </w:r>
      <w:r w:rsidR="00472CAF">
        <w:rPr>
          <w:sz w:val="24"/>
          <w:szCs w:val="24"/>
        </w:rPr>
        <w:t xml:space="preserve">or </w:t>
      </w:r>
      <w:r w:rsidR="0049704B" w:rsidRPr="0090196B">
        <w:rPr>
          <w:sz w:val="24"/>
          <w:szCs w:val="24"/>
        </w:rPr>
        <w:t>$</w:t>
      </w:r>
      <w:r w:rsidR="0090196B" w:rsidRPr="0090196B">
        <w:rPr>
          <w:sz w:val="24"/>
          <w:szCs w:val="24"/>
        </w:rPr>
        <w:t>4.52</w:t>
      </w:r>
      <w:r w:rsidR="00313ECA">
        <w:rPr>
          <w:sz w:val="24"/>
          <w:szCs w:val="24"/>
        </w:rPr>
        <w:t>.</w:t>
      </w:r>
    </w:p>
    <w:p w14:paraId="35F92E02" w14:textId="5F95B3D1" w:rsidR="00B9144F" w:rsidRDefault="00B9144F" w:rsidP="00CB6A79">
      <w:pPr>
        <w:pStyle w:val="ListParagraph"/>
        <w:numPr>
          <w:ilvl w:val="0"/>
          <w:numId w:val="5"/>
        </w:numPr>
        <w:rPr>
          <w:sz w:val="24"/>
          <w:szCs w:val="24"/>
        </w:rPr>
      </w:pPr>
      <w:r>
        <w:rPr>
          <w:sz w:val="24"/>
          <w:szCs w:val="24"/>
        </w:rPr>
        <w:t xml:space="preserve">The Commission held a hearing </w:t>
      </w:r>
      <w:r w:rsidR="0060177A">
        <w:rPr>
          <w:sz w:val="24"/>
          <w:szCs w:val="24"/>
        </w:rPr>
        <w:t xml:space="preserve">in </w:t>
      </w:r>
      <w:r>
        <w:rPr>
          <w:sz w:val="24"/>
          <w:szCs w:val="24"/>
        </w:rPr>
        <w:t>April 2023.</w:t>
      </w:r>
    </w:p>
    <w:p w14:paraId="51BF096A" w14:textId="3F8CFBA6" w:rsidR="00B9144F" w:rsidRDefault="00B9144F" w:rsidP="00CB6A79">
      <w:pPr>
        <w:pStyle w:val="ListParagraph"/>
        <w:numPr>
          <w:ilvl w:val="0"/>
          <w:numId w:val="5"/>
        </w:numPr>
        <w:rPr>
          <w:sz w:val="24"/>
          <w:szCs w:val="24"/>
        </w:rPr>
      </w:pPr>
      <w:r>
        <w:rPr>
          <w:sz w:val="24"/>
          <w:szCs w:val="24"/>
        </w:rPr>
        <w:t xml:space="preserve">Post-hearing briefing </w:t>
      </w:r>
      <w:r w:rsidR="0060177A">
        <w:rPr>
          <w:sz w:val="24"/>
          <w:szCs w:val="24"/>
        </w:rPr>
        <w:t xml:space="preserve">by parties </w:t>
      </w:r>
      <w:r>
        <w:rPr>
          <w:sz w:val="24"/>
          <w:szCs w:val="24"/>
        </w:rPr>
        <w:t xml:space="preserve">was completed </w:t>
      </w:r>
      <w:r w:rsidR="0060177A">
        <w:rPr>
          <w:sz w:val="24"/>
          <w:szCs w:val="24"/>
        </w:rPr>
        <w:t xml:space="preserve">at the end of </w:t>
      </w:r>
      <w:r w:rsidR="002D782A">
        <w:rPr>
          <w:sz w:val="24"/>
          <w:szCs w:val="24"/>
        </w:rPr>
        <w:t xml:space="preserve">June </w:t>
      </w:r>
      <w:r w:rsidR="0060177A">
        <w:rPr>
          <w:sz w:val="24"/>
          <w:szCs w:val="24"/>
        </w:rPr>
        <w:t>2023.</w:t>
      </w:r>
    </w:p>
    <w:p w14:paraId="58620585" w14:textId="4A99AD8A" w:rsidR="0060177A" w:rsidRDefault="0060177A" w:rsidP="00CB6A79">
      <w:pPr>
        <w:pStyle w:val="ListParagraph"/>
        <w:numPr>
          <w:ilvl w:val="0"/>
          <w:numId w:val="5"/>
        </w:numPr>
        <w:rPr>
          <w:sz w:val="24"/>
          <w:szCs w:val="24"/>
        </w:rPr>
      </w:pPr>
      <w:r>
        <w:rPr>
          <w:sz w:val="24"/>
          <w:szCs w:val="24"/>
        </w:rPr>
        <w:t>In October 2023 the Commission issued a final order approving the settlement agreement.</w:t>
      </w:r>
    </w:p>
    <w:p w14:paraId="1908AC43" w14:textId="40D7A01F" w:rsidR="002D782A" w:rsidRDefault="0060177A" w:rsidP="00CB6A79">
      <w:pPr>
        <w:pStyle w:val="ListParagraph"/>
        <w:numPr>
          <w:ilvl w:val="0"/>
          <w:numId w:val="5"/>
        </w:numPr>
        <w:rPr>
          <w:sz w:val="24"/>
          <w:szCs w:val="24"/>
        </w:rPr>
      </w:pPr>
      <w:r>
        <w:rPr>
          <w:sz w:val="24"/>
          <w:szCs w:val="24"/>
        </w:rPr>
        <w:t>In November 2023 the Commission received motions for reconsideration from 350 Montana, Broad Reach Power, and HRC/NRDC/NWEC</w:t>
      </w:r>
      <w:r w:rsidR="002D782A">
        <w:rPr>
          <w:sz w:val="24"/>
          <w:szCs w:val="24"/>
        </w:rPr>
        <w:t>.</w:t>
      </w:r>
    </w:p>
    <w:p w14:paraId="017F1378" w14:textId="1D8D96A5" w:rsidR="0060177A" w:rsidRDefault="0060177A" w:rsidP="00CB6A79">
      <w:pPr>
        <w:pStyle w:val="ListParagraph"/>
        <w:numPr>
          <w:ilvl w:val="0"/>
          <w:numId w:val="5"/>
        </w:numPr>
        <w:rPr>
          <w:sz w:val="24"/>
          <w:szCs w:val="24"/>
        </w:rPr>
      </w:pPr>
      <w:r>
        <w:rPr>
          <w:sz w:val="24"/>
          <w:szCs w:val="24"/>
        </w:rPr>
        <w:t xml:space="preserve">350 Montana asked the Commission to review the greenhouse gas emissions from the Yellowstone County Generating Station </w:t>
      </w:r>
      <w:r w:rsidR="002A0DCE">
        <w:rPr>
          <w:sz w:val="24"/>
          <w:szCs w:val="24"/>
        </w:rPr>
        <w:t xml:space="preserve">(YCGS) </w:t>
      </w:r>
      <w:r>
        <w:rPr>
          <w:sz w:val="24"/>
          <w:szCs w:val="24"/>
        </w:rPr>
        <w:t xml:space="preserve">based on </w:t>
      </w:r>
      <w:r w:rsidR="003E217F">
        <w:rPr>
          <w:sz w:val="24"/>
          <w:szCs w:val="24"/>
        </w:rPr>
        <w:t>recent court</w:t>
      </w:r>
      <w:r>
        <w:rPr>
          <w:sz w:val="24"/>
          <w:szCs w:val="24"/>
        </w:rPr>
        <w:t xml:space="preserve"> decision</w:t>
      </w:r>
      <w:r w:rsidR="003E217F">
        <w:rPr>
          <w:sz w:val="24"/>
          <w:szCs w:val="24"/>
        </w:rPr>
        <w:t>s</w:t>
      </w:r>
      <w:r w:rsidR="00127DEB">
        <w:rPr>
          <w:sz w:val="24"/>
          <w:szCs w:val="24"/>
        </w:rPr>
        <w:t>,</w:t>
      </w:r>
      <w:r>
        <w:rPr>
          <w:sz w:val="24"/>
          <w:szCs w:val="24"/>
        </w:rPr>
        <w:t xml:space="preserve"> address whether the class revenue allocations in the settlement are in a zone of reasonableness, </w:t>
      </w:r>
      <w:r w:rsidR="002A0DCE">
        <w:rPr>
          <w:sz w:val="24"/>
          <w:szCs w:val="24"/>
        </w:rPr>
        <w:t>reconsider the cost of debt for Colstrip, reconsider the PCCAM adjustment in the settlement related to YCGS, and reconsider the rate impacts on residential and small businesses.</w:t>
      </w:r>
    </w:p>
    <w:p w14:paraId="1ED69820" w14:textId="7C4FAF72" w:rsidR="002A0DCE" w:rsidRDefault="002A0DCE" w:rsidP="00CB6A79">
      <w:pPr>
        <w:pStyle w:val="ListParagraph"/>
        <w:numPr>
          <w:ilvl w:val="0"/>
          <w:numId w:val="5"/>
        </w:numPr>
        <w:rPr>
          <w:sz w:val="24"/>
          <w:szCs w:val="24"/>
        </w:rPr>
      </w:pPr>
      <w:r>
        <w:rPr>
          <w:sz w:val="24"/>
          <w:szCs w:val="24"/>
        </w:rPr>
        <w:t>Broad Reach asked for reconsideration on due process grounds.</w:t>
      </w:r>
    </w:p>
    <w:p w14:paraId="6C89006B" w14:textId="52868504" w:rsidR="002A0DCE" w:rsidRDefault="002A0DCE" w:rsidP="00CB6A79">
      <w:pPr>
        <w:pStyle w:val="ListParagraph"/>
        <w:numPr>
          <w:ilvl w:val="0"/>
          <w:numId w:val="5"/>
        </w:numPr>
        <w:rPr>
          <w:sz w:val="24"/>
          <w:szCs w:val="24"/>
        </w:rPr>
      </w:pPr>
      <w:r>
        <w:rPr>
          <w:sz w:val="24"/>
          <w:szCs w:val="24"/>
        </w:rPr>
        <w:t xml:space="preserve">HRC/NRDC/NWEC asked for clarification of the approval for a DSM stakeholder group and the rate impacts on </w:t>
      </w:r>
      <w:r w:rsidR="00911240">
        <w:rPr>
          <w:sz w:val="24"/>
          <w:szCs w:val="24"/>
        </w:rPr>
        <w:t>low-income</w:t>
      </w:r>
      <w:r>
        <w:rPr>
          <w:sz w:val="24"/>
          <w:szCs w:val="24"/>
        </w:rPr>
        <w:t xml:space="preserve"> customers.</w:t>
      </w:r>
    </w:p>
    <w:p w14:paraId="0332088B" w14:textId="76F1CD05" w:rsidR="002A0DCE" w:rsidRPr="00D91FC8" w:rsidRDefault="002A0DCE" w:rsidP="00CB6A79">
      <w:pPr>
        <w:pStyle w:val="ListParagraph"/>
        <w:numPr>
          <w:ilvl w:val="0"/>
          <w:numId w:val="5"/>
        </w:numPr>
        <w:rPr>
          <w:sz w:val="24"/>
          <w:szCs w:val="24"/>
        </w:rPr>
      </w:pPr>
      <w:r>
        <w:rPr>
          <w:sz w:val="24"/>
          <w:szCs w:val="24"/>
        </w:rPr>
        <w:t xml:space="preserve">The Commission and staff are </w:t>
      </w:r>
      <w:r w:rsidR="00911240">
        <w:rPr>
          <w:sz w:val="24"/>
          <w:szCs w:val="24"/>
        </w:rPr>
        <w:t xml:space="preserve">currently </w:t>
      </w:r>
      <w:r>
        <w:rPr>
          <w:sz w:val="24"/>
          <w:szCs w:val="24"/>
        </w:rPr>
        <w:t>analyzing the motions.</w:t>
      </w:r>
      <w:r w:rsidR="00005FC5">
        <w:rPr>
          <w:sz w:val="24"/>
          <w:szCs w:val="24"/>
        </w:rPr>
        <w:t xml:space="preserve"> A Commission decision is expected in late January.</w:t>
      </w:r>
    </w:p>
    <w:p w14:paraId="31AD3994" w14:textId="77777777" w:rsidR="00252E78" w:rsidRDefault="00252E78" w:rsidP="00252E78">
      <w:pPr>
        <w:pStyle w:val="Heading2"/>
      </w:pPr>
    </w:p>
    <w:p w14:paraId="3848BCD1" w14:textId="15CB41EF" w:rsidR="00252E78" w:rsidRDefault="00252E78" w:rsidP="00252E78">
      <w:pPr>
        <w:pStyle w:val="Heading2"/>
      </w:pPr>
      <w:r>
        <w:t>2023 Integrated Resource Plan – Docket 2022.11.102</w:t>
      </w:r>
    </w:p>
    <w:p w14:paraId="59806D80" w14:textId="2D121F0B" w:rsidR="00252E78" w:rsidRDefault="00252E78" w:rsidP="00252E78">
      <w:pPr>
        <w:pStyle w:val="ListParagraph"/>
        <w:numPr>
          <w:ilvl w:val="0"/>
          <w:numId w:val="23"/>
        </w:numPr>
        <w:rPr>
          <w:sz w:val="24"/>
          <w:szCs w:val="24"/>
        </w:rPr>
      </w:pPr>
      <w:r>
        <w:rPr>
          <w:sz w:val="24"/>
          <w:szCs w:val="24"/>
        </w:rPr>
        <w:t xml:space="preserve">In November 2022 NorthWestern notified the Commission that it expected to submit its next integrated resource plan (IRP) by the end of March 2023. NorthWestern ultimately filed </w:t>
      </w:r>
      <w:r w:rsidR="00005FC5">
        <w:rPr>
          <w:sz w:val="24"/>
          <w:szCs w:val="24"/>
        </w:rPr>
        <w:t>the</w:t>
      </w:r>
      <w:r>
        <w:rPr>
          <w:sz w:val="24"/>
          <w:szCs w:val="24"/>
        </w:rPr>
        <w:t xml:space="preserve"> IRP on April 28, 2023.</w:t>
      </w:r>
    </w:p>
    <w:p w14:paraId="2EF59D98" w14:textId="77777777" w:rsidR="00252E78" w:rsidRDefault="00252E78" w:rsidP="00252E78">
      <w:pPr>
        <w:pStyle w:val="ListParagraph"/>
        <w:numPr>
          <w:ilvl w:val="0"/>
          <w:numId w:val="23"/>
        </w:numPr>
        <w:rPr>
          <w:sz w:val="24"/>
          <w:szCs w:val="24"/>
        </w:rPr>
      </w:pPr>
      <w:r>
        <w:rPr>
          <w:sz w:val="24"/>
          <w:szCs w:val="24"/>
        </w:rPr>
        <w:t>The IRP evaluates a variety of potential generation resources and demand-side measures that could meet the projected needs of NorthWestern’s electric service customers in Montana over the next 20 years.</w:t>
      </w:r>
    </w:p>
    <w:p w14:paraId="1FAB9EBF" w14:textId="2AE989AC" w:rsidR="00252E78" w:rsidRPr="00A105D0" w:rsidRDefault="00252E78" w:rsidP="00252E78">
      <w:pPr>
        <w:pStyle w:val="ListParagraph"/>
        <w:numPr>
          <w:ilvl w:val="0"/>
          <w:numId w:val="23"/>
        </w:numPr>
        <w:rPr>
          <w:sz w:val="24"/>
          <w:szCs w:val="24"/>
        </w:rPr>
      </w:pPr>
      <w:r>
        <w:rPr>
          <w:sz w:val="24"/>
          <w:szCs w:val="24"/>
        </w:rPr>
        <w:t xml:space="preserve">NorthWestern’s planning analyses are conducted using a complex proprietary computer model, </w:t>
      </w:r>
      <w:proofErr w:type="spellStart"/>
      <w:r>
        <w:rPr>
          <w:sz w:val="24"/>
          <w:szCs w:val="24"/>
        </w:rPr>
        <w:t>PowerSIMM</w:t>
      </w:r>
      <w:r>
        <w:rPr>
          <w:sz w:val="24"/>
          <w:szCs w:val="24"/>
          <w:vertAlign w:val="superscript"/>
        </w:rPr>
        <w:t>TM</w:t>
      </w:r>
      <w:proofErr w:type="spellEnd"/>
      <w:r>
        <w:rPr>
          <w:sz w:val="24"/>
          <w:szCs w:val="24"/>
        </w:rPr>
        <w:t xml:space="preserve">, </w:t>
      </w:r>
      <w:r w:rsidR="00005FC5">
        <w:rPr>
          <w:sz w:val="24"/>
          <w:szCs w:val="24"/>
        </w:rPr>
        <w:t>that</w:t>
      </w:r>
      <w:r>
        <w:rPr>
          <w:sz w:val="24"/>
          <w:szCs w:val="24"/>
        </w:rPr>
        <w:t xml:space="preserve"> optimizes future resource acquisitions based on defined resource options and demand constraints</w:t>
      </w:r>
      <w:r w:rsidR="00911240">
        <w:rPr>
          <w:sz w:val="24"/>
          <w:szCs w:val="24"/>
        </w:rPr>
        <w:t>, which are</w:t>
      </w:r>
      <w:r>
        <w:rPr>
          <w:sz w:val="24"/>
          <w:szCs w:val="24"/>
        </w:rPr>
        <w:t xml:space="preserve"> input</w:t>
      </w:r>
      <w:r w:rsidR="00911240">
        <w:rPr>
          <w:sz w:val="24"/>
          <w:szCs w:val="24"/>
        </w:rPr>
        <w:t>s</w:t>
      </w:r>
      <w:r>
        <w:rPr>
          <w:sz w:val="24"/>
          <w:szCs w:val="24"/>
        </w:rPr>
        <w:t xml:space="preserve"> to the model. </w:t>
      </w:r>
      <w:r w:rsidR="00911240">
        <w:rPr>
          <w:sz w:val="24"/>
          <w:szCs w:val="24"/>
        </w:rPr>
        <w:t>T</w:t>
      </w:r>
      <w:r>
        <w:rPr>
          <w:sz w:val="24"/>
          <w:szCs w:val="24"/>
        </w:rPr>
        <w:t xml:space="preserve">he model simulates the operation of alternative resource portfolios to quantify total costs and risks associated with the </w:t>
      </w:r>
      <w:r w:rsidR="00911240">
        <w:rPr>
          <w:sz w:val="24"/>
          <w:szCs w:val="24"/>
        </w:rPr>
        <w:t>uncertainty</w:t>
      </w:r>
      <w:r>
        <w:rPr>
          <w:sz w:val="24"/>
          <w:szCs w:val="24"/>
        </w:rPr>
        <w:t xml:space="preserve"> of key variables.</w:t>
      </w:r>
    </w:p>
    <w:p w14:paraId="15F5C6A7" w14:textId="5C5365C6" w:rsidR="00252E78" w:rsidRDefault="00252E78" w:rsidP="00252E78">
      <w:pPr>
        <w:pStyle w:val="ListParagraph"/>
        <w:numPr>
          <w:ilvl w:val="0"/>
          <w:numId w:val="23"/>
        </w:numPr>
        <w:rPr>
          <w:sz w:val="24"/>
          <w:szCs w:val="24"/>
        </w:rPr>
      </w:pPr>
      <w:r>
        <w:rPr>
          <w:sz w:val="24"/>
          <w:szCs w:val="24"/>
        </w:rPr>
        <w:t>Mont. Code Ann. §</w:t>
      </w:r>
      <w:r w:rsidR="00005FC5">
        <w:rPr>
          <w:sz w:val="24"/>
          <w:szCs w:val="24"/>
        </w:rPr>
        <w:t xml:space="preserve"> </w:t>
      </w:r>
      <w:r>
        <w:rPr>
          <w:sz w:val="24"/>
          <w:szCs w:val="24"/>
        </w:rPr>
        <w:t xml:space="preserve">69-3-1204(6)(b) authorizes the Commission to engage independent consultants to evaluate a public utility’s </w:t>
      </w:r>
      <w:r w:rsidR="00911240">
        <w:rPr>
          <w:sz w:val="24"/>
          <w:szCs w:val="24"/>
        </w:rPr>
        <w:t xml:space="preserve">IRP </w:t>
      </w:r>
      <w:r>
        <w:rPr>
          <w:sz w:val="24"/>
          <w:szCs w:val="24"/>
        </w:rPr>
        <w:t>and charge a fee to the utility to recover the cost. The fee is recoverable in the utility’s rates.</w:t>
      </w:r>
    </w:p>
    <w:p w14:paraId="10D2B02A" w14:textId="4F4B752A" w:rsidR="00252E78" w:rsidRDefault="00252E78" w:rsidP="00252E78">
      <w:pPr>
        <w:pStyle w:val="ListParagraph"/>
        <w:numPr>
          <w:ilvl w:val="0"/>
          <w:numId w:val="23"/>
        </w:numPr>
        <w:rPr>
          <w:sz w:val="24"/>
          <w:szCs w:val="24"/>
        </w:rPr>
      </w:pPr>
      <w:r>
        <w:rPr>
          <w:sz w:val="24"/>
          <w:szCs w:val="24"/>
        </w:rPr>
        <w:t xml:space="preserve">The Commission issued an RFP for a consultant in April 2023 and in May 2023 decided to </w:t>
      </w:r>
      <w:proofErr w:type="gramStart"/>
      <w:r w:rsidR="00911240">
        <w:rPr>
          <w:sz w:val="24"/>
          <w:szCs w:val="24"/>
        </w:rPr>
        <w:t>enter into</w:t>
      </w:r>
      <w:proofErr w:type="gramEnd"/>
      <w:r>
        <w:rPr>
          <w:sz w:val="24"/>
          <w:szCs w:val="24"/>
        </w:rPr>
        <w:t xml:space="preserve"> a contract with Mitsubishi Electric Power Products, Inc. (MEPPI), the only bidder.</w:t>
      </w:r>
    </w:p>
    <w:p w14:paraId="7DBCF746" w14:textId="77777777" w:rsidR="00252E78" w:rsidRDefault="00252E78" w:rsidP="00252E78">
      <w:pPr>
        <w:pStyle w:val="ListParagraph"/>
        <w:numPr>
          <w:ilvl w:val="0"/>
          <w:numId w:val="23"/>
        </w:numPr>
        <w:rPr>
          <w:sz w:val="24"/>
          <w:szCs w:val="24"/>
        </w:rPr>
      </w:pPr>
      <w:r>
        <w:rPr>
          <w:sz w:val="24"/>
          <w:szCs w:val="24"/>
        </w:rPr>
        <w:t xml:space="preserve">The Commission determined that MEPPI is qualified to assess the capabilities of the </w:t>
      </w:r>
      <w:proofErr w:type="spellStart"/>
      <w:r>
        <w:rPr>
          <w:sz w:val="24"/>
          <w:szCs w:val="24"/>
        </w:rPr>
        <w:t>PowerSIMM</w:t>
      </w:r>
      <w:r>
        <w:rPr>
          <w:sz w:val="24"/>
          <w:szCs w:val="24"/>
          <w:vertAlign w:val="superscript"/>
        </w:rPr>
        <w:t>TM</w:t>
      </w:r>
      <w:proofErr w:type="spellEnd"/>
      <w:r>
        <w:rPr>
          <w:sz w:val="24"/>
          <w:szCs w:val="24"/>
        </w:rPr>
        <w:t xml:space="preserve"> model and has extensive experience using capacity expansion models to develop IRPs in multiple states.</w:t>
      </w:r>
    </w:p>
    <w:p w14:paraId="55672539" w14:textId="32B0DD63" w:rsidR="00252E78" w:rsidRDefault="00252E78" w:rsidP="00252E78">
      <w:pPr>
        <w:pStyle w:val="ListParagraph"/>
        <w:numPr>
          <w:ilvl w:val="0"/>
          <w:numId w:val="23"/>
        </w:numPr>
        <w:rPr>
          <w:sz w:val="24"/>
          <w:szCs w:val="24"/>
        </w:rPr>
      </w:pPr>
      <w:r>
        <w:rPr>
          <w:sz w:val="24"/>
          <w:szCs w:val="24"/>
        </w:rPr>
        <w:t xml:space="preserve">The Commission’s contract with MEPPI took effect on July 1 and MEPPI provided the </w:t>
      </w:r>
      <w:r w:rsidR="00674612">
        <w:rPr>
          <w:sz w:val="24"/>
          <w:szCs w:val="24"/>
        </w:rPr>
        <w:t>Commission with</w:t>
      </w:r>
      <w:r>
        <w:rPr>
          <w:sz w:val="24"/>
          <w:szCs w:val="24"/>
        </w:rPr>
        <w:t xml:space="preserve"> a written assessment of the </w:t>
      </w:r>
      <w:proofErr w:type="spellStart"/>
      <w:r>
        <w:rPr>
          <w:sz w:val="24"/>
          <w:szCs w:val="24"/>
        </w:rPr>
        <w:t>PowerSIMM</w:t>
      </w:r>
      <w:r w:rsidR="00005FC5" w:rsidRPr="00005FC5">
        <w:rPr>
          <w:sz w:val="24"/>
          <w:szCs w:val="24"/>
          <w:vertAlign w:val="superscript"/>
        </w:rPr>
        <w:t>TM</w:t>
      </w:r>
      <w:proofErr w:type="spellEnd"/>
      <w:r>
        <w:rPr>
          <w:sz w:val="24"/>
          <w:szCs w:val="24"/>
        </w:rPr>
        <w:t xml:space="preserve"> modeling on October 31.</w:t>
      </w:r>
    </w:p>
    <w:p w14:paraId="710BF204" w14:textId="3F9F6261" w:rsidR="00252E78" w:rsidRDefault="00252E78" w:rsidP="00252E78">
      <w:pPr>
        <w:pStyle w:val="ListParagraph"/>
        <w:numPr>
          <w:ilvl w:val="0"/>
          <w:numId w:val="23"/>
        </w:numPr>
        <w:rPr>
          <w:sz w:val="24"/>
          <w:szCs w:val="24"/>
        </w:rPr>
      </w:pPr>
      <w:r>
        <w:rPr>
          <w:sz w:val="24"/>
          <w:szCs w:val="24"/>
        </w:rPr>
        <w:t xml:space="preserve">The Commission provided public notice of NorthWestern’s IRP in May 2023 and set a deadline for written public comments of August 28, 2023. The Commission </w:t>
      </w:r>
      <w:r w:rsidRPr="00DC7908">
        <w:rPr>
          <w:sz w:val="24"/>
          <w:szCs w:val="24"/>
        </w:rPr>
        <w:t xml:space="preserve">held five public meetings to receive oral and written </w:t>
      </w:r>
      <w:r w:rsidR="00674612" w:rsidRPr="00DC7908">
        <w:rPr>
          <w:sz w:val="24"/>
          <w:szCs w:val="24"/>
        </w:rPr>
        <w:t>comments</w:t>
      </w:r>
      <w:r w:rsidRPr="00DC7908">
        <w:rPr>
          <w:sz w:val="24"/>
          <w:szCs w:val="24"/>
        </w:rPr>
        <w:t xml:space="preserve"> on the 2023 Plan: August 14, 2023, in Great Falls; August 15, 2023, in Helena; August 16, 2023, in Billings; August 17, 2023, in Butte; and August 22, 2023, in Missoula</w:t>
      </w:r>
      <w:r>
        <w:rPr>
          <w:sz w:val="24"/>
          <w:szCs w:val="24"/>
        </w:rPr>
        <w:t>.</w:t>
      </w:r>
    </w:p>
    <w:p w14:paraId="72507C62" w14:textId="05997709" w:rsidR="00252E78" w:rsidRDefault="00674612" w:rsidP="00252E78">
      <w:pPr>
        <w:pStyle w:val="ListParagraph"/>
        <w:numPr>
          <w:ilvl w:val="0"/>
          <w:numId w:val="23"/>
        </w:numPr>
        <w:rPr>
          <w:sz w:val="24"/>
          <w:szCs w:val="24"/>
        </w:rPr>
      </w:pPr>
      <w:r>
        <w:rPr>
          <w:sz w:val="24"/>
          <w:szCs w:val="24"/>
        </w:rPr>
        <w:t xml:space="preserve">In </w:t>
      </w:r>
      <w:r w:rsidR="00252E78">
        <w:rPr>
          <w:sz w:val="24"/>
          <w:szCs w:val="24"/>
        </w:rPr>
        <w:t>September 2023, the Commission extended the deadline for written public comment to October 6, 2023.</w:t>
      </w:r>
    </w:p>
    <w:p w14:paraId="02A42233" w14:textId="1B20BA1F" w:rsidR="00674612" w:rsidRDefault="00674612" w:rsidP="00252E78">
      <w:pPr>
        <w:pStyle w:val="ListParagraph"/>
        <w:numPr>
          <w:ilvl w:val="0"/>
          <w:numId w:val="23"/>
        </w:numPr>
        <w:rPr>
          <w:sz w:val="24"/>
          <w:szCs w:val="24"/>
        </w:rPr>
      </w:pPr>
      <w:r>
        <w:rPr>
          <w:sz w:val="24"/>
          <w:szCs w:val="24"/>
        </w:rPr>
        <w:t>The Commission is preparing its written comments on the IRP based on its own evaluation of the contents of the IRP</w:t>
      </w:r>
      <w:r w:rsidR="009348D2">
        <w:rPr>
          <w:sz w:val="24"/>
          <w:szCs w:val="24"/>
        </w:rPr>
        <w:t xml:space="preserve">, MEPPI’s assessment of </w:t>
      </w:r>
      <w:proofErr w:type="spellStart"/>
      <w:r w:rsidR="009348D2">
        <w:rPr>
          <w:sz w:val="24"/>
          <w:szCs w:val="24"/>
        </w:rPr>
        <w:t>PowerSIMM</w:t>
      </w:r>
      <w:r w:rsidR="009348D2" w:rsidRPr="009348D2">
        <w:rPr>
          <w:sz w:val="24"/>
          <w:szCs w:val="24"/>
          <w:vertAlign w:val="superscript"/>
        </w:rPr>
        <w:t>TM</w:t>
      </w:r>
      <w:proofErr w:type="spellEnd"/>
      <w:r w:rsidR="009348D2">
        <w:rPr>
          <w:sz w:val="24"/>
          <w:szCs w:val="24"/>
        </w:rPr>
        <w:t>,</w:t>
      </w:r>
      <w:r>
        <w:rPr>
          <w:sz w:val="24"/>
          <w:szCs w:val="24"/>
        </w:rPr>
        <w:t xml:space="preserve"> and the public comments.</w:t>
      </w:r>
    </w:p>
    <w:p w14:paraId="12EA8FE9" w14:textId="77777777" w:rsidR="00252E78" w:rsidRDefault="00252E78" w:rsidP="00252E78">
      <w:pPr>
        <w:pStyle w:val="Heading2"/>
      </w:pPr>
    </w:p>
    <w:p w14:paraId="14C0C267" w14:textId="6033179B" w:rsidR="00252E78" w:rsidRPr="00090FAA" w:rsidRDefault="00674612" w:rsidP="00252E78">
      <w:pPr>
        <w:pStyle w:val="Heading2"/>
      </w:pPr>
      <w:r>
        <w:t xml:space="preserve">Update of Standard </w:t>
      </w:r>
      <w:r w:rsidR="009348D2">
        <w:t xml:space="preserve">PURPA </w:t>
      </w:r>
      <w:r>
        <w:t xml:space="preserve">Rates </w:t>
      </w:r>
      <w:r w:rsidR="00252E78">
        <w:t>– Docket 2023.08.076</w:t>
      </w:r>
    </w:p>
    <w:p w14:paraId="41EE9434" w14:textId="7C924615" w:rsidR="00252E78" w:rsidRDefault="00674612" w:rsidP="00252E78">
      <w:pPr>
        <w:pStyle w:val="ListParagraph"/>
        <w:numPr>
          <w:ilvl w:val="0"/>
          <w:numId w:val="31"/>
        </w:numPr>
        <w:ind w:left="720"/>
        <w:rPr>
          <w:sz w:val="24"/>
          <w:szCs w:val="24"/>
        </w:rPr>
      </w:pPr>
      <w:r>
        <w:rPr>
          <w:sz w:val="24"/>
          <w:szCs w:val="24"/>
        </w:rPr>
        <w:t xml:space="preserve">In </w:t>
      </w:r>
      <w:r w:rsidR="00252E78">
        <w:rPr>
          <w:sz w:val="24"/>
          <w:szCs w:val="24"/>
        </w:rPr>
        <w:t xml:space="preserve">August 2023 NorthWestern filed an application to update its QF-1 </w:t>
      </w:r>
      <w:r>
        <w:rPr>
          <w:sz w:val="24"/>
          <w:szCs w:val="24"/>
        </w:rPr>
        <w:t>tariff</w:t>
      </w:r>
      <w:r w:rsidR="00252E78">
        <w:rPr>
          <w:sz w:val="24"/>
          <w:szCs w:val="24"/>
        </w:rPr>
        <w:t xml:space="preserve"> schedule</w:t>
      </w:r>
      <w:r>
        <w:rPr>
          <w:sz w:val="24"/>
          <w:szCs w:val="24"/>
        </w:rPr>
        <w:t xml:space="preserve">, which </w:t>
      </w:r>
      <w:r w:rsidR="00252E78">
        <w:rPr>
          <w:sz w:val="24"/>
          <w:szCs w:val="24"/>
        </w:rPr>
        <w:t xml:space="preserve">provides standard rates for </w:t>
      </w:r>
      <w:r w:rsidR="009348D2">
        <w:rPr>
          <w:sz w:val="24"/>
          <w:szCs w:val="24"/>
        </w:rPr>
        <w:t xml:space="preserve">purchases by NorthWestern of </w:t>
      </w:r>
      <w:r w:rsidR="00252E78">
        <w:rPr>
          <w:sz w:val="24"/>
          <w:szCs w:val="24"/>
        </w:rPr>
        <w:t xml:space="preserve">energy </w:t>
      </w:r>
      <w:r>
        <w:rPr>
          <w:sz w:val="24"/>
          <w:szCs w:val="24"/>
        </w:rPr>
        <w:t xml:space="preserve">and capacity </w:t>
      </w:r>
      <w:r w:rsidR="00252E78">
        <w:rPr>
          <w:sz w:val="24"/>
          <w:szCs w:val="24"/>
        </w:rPr>
        <w:t>from qualifying facilities (QFs) under the federal Public Utility Regulatory Policies Act (PURPA).</w:t>
      </w:r>
    </w:p>
    <w:p w14:paraId="78B85DDD" w14:textId="4004028E" w:rsidR="00252E78" w:rsidRDefault="00674612" w:rsidP="00252E78">
      <w:pPr>
        <w:pStyle w:val="ListParagraph"/>
        <w:numPr>
          <w:ilvl w:val="0"/>
          <w:numId w:val="31"/>
        </w:numPr>
        <w:ind w:left="720"/>
        <w:rPr>
          <w:sz w:val="24"/>
          <w:szCs w:val="24"/>
        </w:rPr>
      </w:pPr>
      <w:r>
        <w:rPr>
          <w:sz w:val="24"/>
          <w:szCs w:val="24"/>
        </w:rPr>
        <w:t>R</w:t>
      </w:r>
      <w:r w:rsidR="00252E78">
        <w:rPr>
          <w:sz w:val="24"/>
          <w:szCs w:val="24"/>
        </w:rPr>
        <w:t xml:space="preserve">egulations of the Federal Energy Regulatory Commission (FERC) require utilities to offer standard rates for QFs 100 kilowatts (kW) or smaller but provide state regulatory commissions the discretion to </w:t>
      </w:r>
      <w:r w:rsidR="003C422C">
        <w:rPr>
          <w:sz w:val="24"/>
          <w:szCs w:val="24"/>
        </w:rPr>
        <w:t xml:space="preserve">require </w:t>
      </w:r>
      <w:r w:rsidR="00252E78">
        <w:rPr>
          <w:sz w:val="24"/>
          <w:szCs w:val="24"/>
        </w:rPr>
        <w:t>standard rates for larger facilities.</w:t>
      </w:r>
    </w:p>
    <w:p w14:paraId="53F5D25B" w14:textId="3D0BC1A7" w:rsidR="00252E78" w:rsidRDefault="00252E78" w:rsidP="00252E78">
      <w:pPr>
        <w:pStyle w:val="ListParagraph"/>
        <w:numPr>
          <w:ilvl w:val="0"/>
          <w:numId w:val="31"/>
        </w:numPr>
        <w:ind w:left="720"/>
        <w:rPr>
          <w:sz w:val="24"/>
          <w:szCs w:val="24"/>
        </w:rPr>
      </w:pPr>
      <w:r>
        <w:rPr>
          <w:sz w:val="24"/>
          <w:szCs w:val="24"/>
        </w:rPr>
        <w:t>The Commission’s rules require Montana utilities to offer standard rates to QFs 3 megawatts (MWs) or smaller.</w:t>
      </w:r>
    </w:p>
    <w:p w14:paraId="1893DCA1" w14:textId="3442A31C" w:rsidR="00252E78" w:rsidRDefault="00252E78" w:rsidP="00252E78">
      <w:pPr>
        <w:pStyle w:val="ListParagraph"/>
        <w:numPr>
          <w:ilvl w:val="0"/>
          <w:numId w:val="31"/>
        </w:numPr>
        <w:ind w:left="720"/>
        <w:rPr>
          <w:sz w:val="24"/>
          <w:szCs w:val="24"/>
        </w:rPr>
      </w:pPr>
      <w:r>
        <w:rPr>
          <w:sz w:val="24"/>
          <w:szCs w:val="24"/>
        </w:rPr>
        <w:t xml:space="preserve">In its application, NorthWestern proposes to offer standard rates for contract terms up to 20 years. </w:t>
      </w:r>
      <w:proofErr w:type="spellStart"/>
      <w:r w:rsidR="00127DEB">
        <w:rPr>
          <w:sz w:val="24"/>
          <w:szCs w:val="24"/>
        </w:rPr>
        <w:t>NorthWestern</w:t>
      </w:r>
      <w:proofErr w:type="spellEnd"/>
      <w:r w:rsidR="00127DEB">
        <w:rPr>
          <w:sz w:val="24"/>
          <w:szCs w:val="24"/>
        </w:rPr>
        <w:t xml:space="preserve"> proposes</w:t>
      </w:r>
      <w:r>
        <w:rPr>
          <w:sz w:val="24"/>
          <w:szCs w:val="24"/>
        </w:rPr>
        <w:t xml:space="preserve"> </w:t>
      </w:r>
      <w:r w:rsidR="00127DEB">
        <w:rPr>
          <w:sz w:val="24"/>
          <w:szCs w:val="24"/>
        </w:rPr>
        <w:t xml:space="preserve">rates </w:t>
      </w:r>
      <w:r>
        <w:rPr>
          <w:sz w:val="24"/>
          <w:szCs w:val="24"/>
        </w:rPr>
        <w:t xml:space="preserve">for energy </w:t>
      </w:r>
      <w:r w:rsidR="00334EDE">
        <w:rPr>
          <w:sz w:val="24"/>
          <w:szCs w:val="24"/>
        </w:rPr>
        <w:t>based on market prices in the Western Energy Imbalance Market, as authorized by FERC Order 872. Payments for capacity would be fixed for the term of the contract based on the estimated costs of constructing a new natural gas peaking plant.</w:t>
      </w:r>
    </w:p>
    <w:p w14:paraId="2BC15760" w14:textId="210CC58E" w:rsidR="00334EDE" w:rsidRDefault="00334EDE" w:rsidP="00252E78">
      <w:pPr>
        <w:pStyle w:val="ListParagraph"/>
        <w:numPr>
          <w:ilvl w:val="0"/>
          <w:numId w:val="31"/>
        </w:numPr>
        <w:ind w:left="720"/>
        <w:rPr>
          <w:sz w:val="24"/>
          <w:szCs w:val="24"/>
        </w:rPr>
      </w:pPr>
      <w:r>
        <w:rPr>
          <w:sz w:val="24"/>
          <w:szCs w:val="24"/>
        </w:rPr>
        <w:t>NorthWestern also proposes to implement a standard, off-the-shelf contract to streamline the PPA negotiation process.</w:t>
      </w:r>
    </w:p>
    <w:p w14:paraId="64A7C979" w14:textId="6BFA3E13" w:rsidR="00334EDE" w:rsidRDefault="001A5FD2" w:rsidP="00252E78">
      <w:pPr>
        <w:pStyle w:val="ListParagraph"/>
        <w:numPr>
          <w:ilvl w:val="0"/>
          <w:numId w:val="31"/>
        </w:numPr>
        <w:ind w:left="720"/>
        <w:rPr>
          <w:sz w:val="24"/>
          <w:szCs w:val="24"/>
        </w:rPr>
      </w:pPr>
      <w:r>
        <w:rPr>
          <w:sz w:val="24"/>
          <w:szCs w:val="24"/>
        </w:rPr>
        <w:t>Hydrodynamics and</w:t>
      </w:r>
      <w:r w:rsidR="00334EDE">
        <w:rPr>
          <w:sz w:val="24"/>
          <w:szCs w:val="24"/>
        </w:rPr>
        <w:t xml:space="preserve"> Greenfields Irrigation District</w:t>
      </w:r>
      <w:r>
        <w:rPr>
          <w:sz w:val="24"/>
          <w:szCs w:val="24"/>
        </w:rPr>
        <w:t xml:space="preserve"> (jointly) and the Consumer Counsel have intervened.</w:t>
      </w:r>
    </w:p>
    <w:p w14:paraId="58F73F86" w14:textId="3F59D389" w:rsidR="00334EDE" w:rsidRDefault="00334EDE" w:rsidP="00252E78">
      <w:pPr>
        <w:pStyle w:val="ListParagraph"/>
        <w:numPr>
          <w:ilvl w:val="0"/>
          <w:numId w:val="31"/>
        </w:numPr>
        <w:ind w:left="720"/>
        <w:rPr>
          <w:sz w:val="24"/>
          <w:szCs w:val="24"/>
        </w:rPr>
      </w:pPr>
      <w:r>
        <w:rPr>
          <w:sz w:val="24"/>
          <w:szCs w:val="24"/>
        </w:rPr>
        <w:t>The Commission anticipates holding a public hearing in May 2023.</w:t>
      </w:r>
    </w:p>
    <w:p w14:paraId="38ECAE52" w14:textId="77777777" w:rsidR="00C97CB8" w:rsidRDefault="00C97CB8" w:rsidP="00B15F8C">
      <w:pPr>
        <w:pStyle w:val="Heading2"/>
      </w:pPr>
    </w:p>
    <w:p w14:paraId="3BC71B94" w14:textId="436FD278" w:rsidR="00B15F8C" w:rsidRDefault="00C97CB8" w:rsidP="00B15F8C">
      <w:pPr>
        <w:pStyle w:val="Heading2"/>
      </w:pPr>
      <w:r>
        <w:t>PCCAM Annual Rate Adjustment – Docket 202</w:t>
      </w:r>
      <w:r w:rsidR="00090FAA">
        <w:t>3</w:t>
      </w:r>
      <w:r>
        <w:t>.09.08</w:t>
      </w:r>
      <w:r w:rsidR="00090FAA">
        <w:t>1</w:t>
      </w:r>
    </w:p>
    <w:p w14:paraId="22A5B692" w14:textId="21E072F9" w:rsidR="00C97CB8" w:rsidRDefault="00DD5283" w:rsidP="00C97CB8">
      <w:pPr>
        <w:pStyle w:val="ListParagraph"/>
        <w:numPr>
          <w:ilvl w:val="0"/>
          <w:numId w:val="12"/>
        </w:numPr>
        <w:rPr>
          <w:sz w:val="24"/>
          <w:szCs w:val="24"/>
        </w:rPr>
      </w:pPr>
      <w:r>
        <w:rPr>
          <w:sz w:val="24"/>
          <w:szCs w:val="24"/>
        </w:rPr>
        <w:t xml:space="preserve">In </w:t>
      </w:r>
      <w:r w:rsidR="00C97CB8">
        <w:rPr>
          <w:sz w:val="24"/>
          <w:szCs w:val="24"/>
        </w:rPr>
        <w:t>September</w:t>
      </w:r>
      <w:r w:rsidR="00C97CB8" w:rsidRPr="00B570CF">
        <w:rPr>
          <w:sz w:val="24"/>
          <w:szCs w:val="24"/>
        </w:rPr>
        <w:t xml:space="preserve"> 202</w:t>
      </w:r>
      <w:r w:rsidR="00090FAA">
        <w:rPr>
          <w:sz w:val="24"/>
          <w:szCs w:val="24"/>
        </w:rPr>
        <w:t>3</w:t>
      </w:r>
      <w:r w:rsidR="00C97CB8" w:rsidRPr="00B570CF">
        <w:rPr>
          <w:sz w:val="24"/>
          <w:szCs w:val="24"/>
        </w:rPr>
        <w:t xml:space="preserve"> NorthWestern filed its </w:t>
      </w:r>
      <w:r w:rsidR="00C97CB8">
        <w:rPr>
          <w:sz w:val="24"/>
          <w:szCs w:val="24"/>
        </w:rPr>
        <w:t xml:space="preserve">annual </w:t>
      </w:r>
      <w:r w:rsidR="00C97CB8" w:rsidRPr="00B570CF">
        <w:rPr>
          <w:sz w:val="24"/>
          <w:szCs w:val="24"/>
        </w:rPr>
        <w:t xml:space="preserve">application </w:t>
      </w:r>
      <w:r w:rsidR="00C97CB8">
        <w:rPr>
          <w:sz w:val="24"/>
          <w:szCs w:val="24"/>
        </w:rPr>
        <w:t>to adjust electricity supply rates under the Power Costs and Credits Adjustment Mechanism</w:t>
      </w:r>
      <w:r w:rsidR="00003615">
        <w:rPr>
          <w:sz w:val="24"/>
          <w:szCs w:val="24"/>
        </w:rPr>
        <w:t xml:space="preserve">. </w:t>
      </w:r>
      <w:r w:rsidR="005D5453">
        <w:rPr>
          <w:sz w:val="24"/>
          <w:szCs w:val="24"/>
        </w:rPr>
        <w:t>The</w:t>
      </w:r>
      <w:r w:rsidR="00C97CB8">
        <w:rPr>
          <w:sz w:val="24"/>
          <w:szCs w:val="24"/>
        </w:rPr>
        <w:t xml:space="preserve"> application covers the </w:t>
      </w:r>
      <w:r w:rsidR="00C97CB8" w:rsidRPr="00B570CF">
        <w:rPr>
          <w:sz w:val="24"/>
          <w:szCs w:val="24"/>
        </w:rPr>
        <w:t>tracking period July 202</w:t>
      </w:r>
      <w:r w:rsidR="00090FAA">
        <w:rPr>
          <w:sz w:val="24"/>
          <w:szCs w:val="24"/>
        </w:rPr>
        <w:t>2</w:t>
      </w:r>
      <w:r w:rsidR="00C97CB8" w:rsidRPr="00B570CF">
        <w:rPr>
          <w:sz w:val="24"/>
          <w:szCs w:val="24"/>
        </w:rPr>
        <w:t xml:space="preserve"> through June 202</w:t>
      </w:r>
      <w:r w:rsidR="00090FAA">
        <w:rPr>
          <w:sz w:val="24"/>
          <w:szCs w:val="24"/>
        </w:rPr>
        <w:t>3</w:t>
      </w:r>
      <w:r w:rsidR="00C97CB8" w:rsidRPr="00B570CF">
        <w:rPr>
          <w:sz w:val="24"/>
          <w:szCs w:val="24"/>
        </w:rPr>
        <w:t>.</w:t>
      </w:r>
    </w:p>
    <w:p w14:paraId="7529FAF7" w14:textId="0E98801B" w:rsidR="002A0DCE" w:rsidRPr="00B570CF" w:rsidRDefault="002A0DCE" w:rsidP="00C97CB8">
      <w:pPr>
        <w:pStyle w:val="ListParagraph"/>
        <w:numPr>
          <w:ilvl w:val="0"/>
          <w:numId w:val="12"/>
        </w:numPr>
        <w:rPr>
          <w:sz w:val="24"/>
          <w:szCs w:val="24"/>
        </w:rPr>
      </w:pPr>
      <w:r w:rsidRPr="00B570CF">
        <w:rPr>
          <w:sz w:val="24"/>
          <w:szCs w:val="24"/>
        </w:rPr>
        <w:t xml:space="preserve">Under the PCCAM, rate adjustments automatically </w:t>
      </w:r>
      <w:r>
        <w:rPr>
          <w:sz w:val="24"/>
          <w:szCs w:val="24"/>
        </w:rPr>
        <w:t xml:space="preserve">take </w:t>
      </w:r>
      <w:r w:rsidRPr="00B570CF">
        <w:rPr>
          <w:sz w:val="24"/>
          <w:szCs w:val="24"/>
        </w:rPr>
        <w:t>effect on October 1</w:t>
      </w:r>
      <w:r>
        <w:rPr>
          <w:sz w:val="24"/>
          <w:szCs w:val="24"/>
        </w:rPr>
        <w:t xml:space="preserve"> each year</w:t>
      </w:r>
      <w:r w:rsidRPr="00B570CF">
        <w:rPr>
          <w:sz w:val="24"/>
          <w:szCs w:val="24"/>
        </w:rPr>
        <w:t>, subject to refund</w:t>
      </w:r>
      <w:r>
        <w:rPr>
          <w:sz w:val="24"/>
          <w:szCs w:val="24"/>
        </w:rPr>
        <w:t xml:space="preserve"> after a final Commission decision.</w:t>
      </w:r>
    </w:p>
    <w:p w14:paraId="4A59B7D6" w14:textId="2EE8EE84" w:rsidR="00C97CB8" w:rsidRPr="00B570CF" w:rsidRDefault="00C97CB8" w:rsidP="00C97CB8">
      <w:pPr>
        <w:pStyle w:val="ListParagraph"/>
        <w:numPr>
          <w:ilvl w:val="0"/>
          <w:numId w:val="12"/>
        </w:numPr>
        <w:rPr>
          <w:sz w:val="24"/>
          <w:szCs w:val="24"/>
        </w:rPr>
      </w:pPr>
      <w:r w:rsidRPr="00B570CF">
        <w:rPr>
          <w:sz w:val="24"/>
          <w:szCs w:val="24"/>
        </w:rPr>
        <w:t xml:space="preserve">NorthWestern </w:t>
      </w:r>
      <w:r w:rsidR="002A0DCE">
        <w:rPr>
          <w:sz w:val="24"/>
          <w:szCs w:val="24"/>
        </w:rPr>
        <w:t xml:space="preserve">seeks </w:t>
      </w:r>
      <w:r w:rsidRPr="00B570CF">
        <w:rPr>
          <w:sz w:val="24"/>
          <w:szCs w:val="24"/>
        </w:rPr>
        <w:t xml:space="preserve">to recover approximately </w:t>
      </w:r>
      <w:r w:rsidR="005A4180">
        <w:rPr>
          <w:sz w:val="24"/>
          <w:szCs w:val="24"/>
        </w:rPr>
        <w:t xml:space="preserve">$17.5 </w:t>
      </w:r>
      <w:r w:rsidRPr="00B570CF">
        <w:rPr>
          <w:sz w:val="24"/>
          <w:szCs w:val="24"/>
        </w:rPr>
        <w:t>Million in deferred costs.</w:t>
      </w:r>
    </w:p>
    <w:p w14:paraId="491088C0" w14:textId="1352AC62" w:rsidR="00C97CB8" w:rsidRDefault="0024512B" w:rsidP="002A0DCE">
      <w:pPr>
        <w:pStyle w:val="ListParagraph"/>
        <w:numPr>
          <w:ilvl w:val="0"/>
          <w:numId w:val="12"/>
        </w:numPr>
        <w:rPr>
          <w:sz w:val="24"/>
          <w:szCs w:val="24"/>
        </w:rPr>
      </w:pPr>
      <w:r>
        <w:rPr>
          <w:sz w:val="24"/>
          <w:szCs w:val="24"/>
        </w:rPr>
        <w:t>T</w:t>
      </w:r>
      <w:r w:rsidR="00C97CB8" w:rsidRPr="00B570CF">
        <w:rPr>
          <w:sz w:val="24"/>
          <w:szCs w:val="24"/>
        </w:rPr>
        <w:t xml:space="preserve">he </w:t>
      </w:r>
      <w:r w:rsidR="00003615">
        <w:rPr>
          <w:sz w:val="24"/>
          <w:szCs w:val="24"/>
        </w:rPr>
        <w:t xml:space="preserve">proposed </w:t>
      </w:r>
      <w:r w:rsidR="00C97CB8" w:rsidRPr="00B570CF">
        <w:rPr>
          <w:sz w:val="24"/>
          <w:szCs w:val="24"/>
        </w:rPr>
        <w:t>PCCAM rate adjustment result</w:t>
      </w:r>
      <w:r w:rsidR="00003615">
        <w:rPr>
          <w:sz w:val="24"/>
          <w:szCs w:val="24"/>
        </w:rPr>
        <w:t>ed</w:t>
      </w:r>
      <w:r w:rsidR="00C97CB8" w:rsidRPr="00B570CF">
        <w:rPr>
          <w:sz w:val="24"/>
          <w:szCs w:val="24"/>
        </w:rPr>
        <w:t xml:space="preserve"> in a</w:t>
      </w:r>
      <w:r w:rsidR="00B069D7">
        <w:rPr>
          <w:sz w:val="24"/>
          <w:szCs w:val="24"/>
        </w:rPr>
        <w:t xml:space="preserve"> decrease </w:t>
      </w:r>
      <w:r w:rsidR="00C97CB8" w:rsidRPr="00B570CF">
        <w:rPr>
          <w:sz w:val="24"/>
          <w:szCs w:val="24"/>
        </w:rPr>
        <w:t xml:space="preserve">in NorthWestern’s electricity supply rates of approximately </w:t>
      </w:r>
      <w:r w:rsidR="00B069D7">
        <w:rPr>
          <w:sz w:val="24"/>
          <w:szCs w:val="24"/>
        </w:rPr>
        <w:t>4%</w:t>
      </w:r>
      <w:r w:rsidR="003C422C">
        <w:rPr>
          <w:sz w:val="24"/>
          <w:szCs w:val="24"/>
        </w:rPr>
        <w:t xml:space="preserve"> (because the rates included recovery for a larger deferral from the prior year)</w:t>
      </w:r>
      <w:r w:rsidR="00C97CB8" w:rsidRPr="00B570CF">
        <w:rPr>
          <w:sz w:val="24"/>
          <w:szCs w:val="24"/>
        </w:rPr>
        <w:t>.</w:t>
      </w:r>
      <w:r w:rsidR="00C97CB8">
        <w:rPr>
          <w:sz w:val="24"/>
          <w:szCs w:val="24"/>
        </w:rPr>
        <w:t xml:space="preserve"> A typical residential customer would experience a bill </w:t>
      </w:r>
      <w:r w:rsidR="00B069D7">
        <w:rPr>
          <w:sz w:val="24"/>
          <w:szCs w:val="24"/>
        </w:rPr>
        <w:t xml:space="preserve">decrease </w:t>
      </w:r>
      <w:r w:rsidR="00C97CB8">
        <w:rPr>
          <w:sz w:val="24"/>
          <w:szCs w:val="24"/>
        </w:rPr>
        <w:t>of approximately $</w:t>
      </w:r>
      <w:r w:rsidR="00B069D7">
        <w:rPr>
          <w:sz w:val="24"/>
          <w:szCs w:val="24"/>
        </w:rPr>
        <w:t>4.50</w:t>
      </w:r>
      <w:r w:rsidR="00C97CB8">
        <w:rPr>
          <w:sz w:val="24"/>
          <w:szCs w:val="24"/>
        </w:rPr>
        <w:t xml:space="preserve"> per month.</w:t>
      </w:r>
    </w:p>
    <w:p w14:paraId="44064D03" w14:textId="025A33A1" w:rsidR="00B069D7" w:rsidRDefault="00B069D7" w:rsidP="002A0DCE">
      <w:pPr>
        <w:pStyle w:val="ListParagraph"/>
        <w:numPr>
          <w:ilvl w:val="0"/>
          <w:numId w:val="12"/>
        </w:numPr>
        <w:rPr>
          <w:sz w:val="24"/>
          <w:szCs w:val="24"/>
        </w:rPr>
      </w:pPr>
      <w:r>
        <w:rPr>
          <w:sz w:val="24"/>
          <w:szCs w:val="24"/>
        </w:rPr>
        <w:t xml:space="preserve">Following the Commission’s decision in NorthWestern’s electric and natural gas rate case authorizing an increase in the PCCAM base cost, NorthWestern filed a </w:t>
      </w:r>
      <w:r w:rsidR="00671E17">
        <w:rPr>
          <w:sz w:val="24"/>
          <w:szCs w:val="24"/>
        </w:rPr>
        <w:t>motion</w:t>
      </w:r>
      <w:r>
        <w:rPr>
          <w:sz w:val="24"/>
          <w:szCs w:val="24"/>
        </w:rPr>
        <w:t xml:space="preserve"> to amend the interim rate adjustment implemented in October 2023. Under the authorized PCCAM base cost, the deferred cost increased by $2.9 million.</w:t>
      </w:r>
    </w:p>
    <w:p w14:paraId="7BA547B7" w14:textId="519C6BC1" w:rsidR="00B069D7" w:rsidRPr="002A0DCE" w:rsidRDefault="00B069D7" w:rsidP="002A0DCE">
      <w:pPr>
        <w:pStyle w:val="ListParagraph"/>
        <w:numPr>
          <w:ilvl w:val="0"/>
          <w:numId w:val="12"/>
        </w:numPr>
        <w:rPr>
          <w:sz w:val="24"/>
          <w:szCs w:val="24"/>
        </w:rPr>
      </w:pPr>
      <w:r>
        <w:rPr>
          <w:sz w:val="24"/>
          <w:szCs w:val="24"/>
        </w:rPr>
        <w:t xml:space="preserve">In December 2023 the Commission approved NorthWestern’s </w:t>
      </w:r>
      <w:r w:rsidR="00671E17">
        <w:rPr>
          <w:sz w:val="24"/>
          <w:szCs w:val="24"/>
        </w:rPr>
        <w:t>motion</w:t>
      </w:r>
      <w:r>
        <w:rPr>
          <w:sz w:val="24"/>
          <w:szCs w:val="24"/>
        </w:rPr>
        <w:t xml:space="preserve"> to modify the interim PCCAM rates to reflect the PCCAM base costs approved in the rate case. The effect of the decision was a slight increase in the PCCAM rates implemented in October. For a typical residential customer, the increase was </w:t>
      </w:r>
      <w:r w:rsidR="00671E17">
        <w:rPr>
          <w:sz w:val="24"/>
          <w:szCs w:val="24"/>
        </w:rPr>
        <w:t>0.4% or $0.42 per month.</w:t>
      </w:r>
      <w:r>
        <w:rPr>
          <w:sz w:val="24"/>
          <w:szCs w:val="24"/>
        </w:rPr>
        <w:t xml:space="preserve"> </w:t>
      </w:r>
    </w:p>
    <w:p w14:paraId="515823E4" w14:textId="5510EE5B" w:rsidR="0046215E" w:rsidRDefault="009348D2" w:rsidP="00F31B4D">
      <w:pPr>
        <w:pStyle w:val="ListParagraph"/>
        <w:numPr>
          <w:ilvl w:val="0"/>
          <w:numId w:val="12"/>
        </w:numPr>
        <w:rPr>
          <w:sz w:val="24"/>
          <w:szCs w:val="24"/>
        </w:rPr>
      </w:pPr>
      <w:r>
        <w:rPr>
          <w:sz w:val="24"/>
          <w:szCs w:val="24"/>
        </w:rPr>
        <w:t>T</w:t>
      </w:r>
      <w:r w:rsidR="0024512B">
        <w:rPr>
          <w:sz w:val="24"/>
          <w:szCs w:val="24"/>
        </w:rPr>
        <w:t xml:space="preserve">he Commission </w:t>
      </w:r>
      <w:r>
        <w:rPr>
          <w:sz w:val="24"/>
          <w:szCs w:val="24"/>
        </w:rPr>
        <w:t xml:space="preserve">is working with the intervenors to establish </w:t>
      </w:r>
      <w:r w:rsidR="0024512B">
        <w:rPr>
          <w:sz w:val="24"/>
          <w:szCs w:val="24"/>
        </w:rPr>
        <w:t xml:space="preserve">a procedural </w:t>
      </w:r>
      <w:r>
        <w:rPr>
          <w:sz w:val="24"/>
          <w:szCs w:val="24"/>
        </w:rPr>
        <w:t>schedule for the docket.</w:t>
      </w:r>
      <w:r w:rsidR="0024512B">
        <w:rPr>
          <w:sz w:val="24"/>
          <w:szCs w:val="24"/>
        </w:rPr>
        <w:t xml:space="preserve"> </w:t>
      </w:r>
    </w:p>
    <w:p w14:paraId="3DE6B6D9" w14:textId="77777777" w:rsidR="00F31B4D" w:rsidRPr="00F31B4D" w:rsidRDefault="00F31B4D" w:rsidP="00F31B4D">
      <w:pPr>
        <w:pStyle w:val="ListParagraph"/>
        <w:rPr>
          <w:sz w:val="24"/>
          <w:szCs w:val="24"/>
        </w:rPr>
      </w:pPr>
    </w:p>
    <w:p w14:paraId="53F5A52C" w14:textId="277DA3F4" w:rsidR="00EC2613" w:rsidRDefault="00EC2613" w:rsidP="00EC2613">
      <w:pPr>
        <w:pStyle w:val="Heading2"/>
      </w:pPr>
      <w:r>
        <w:t>Electric and Natural Gas Property Tax Tracker – Docket 202</w:t>
      </w:r>
      <w:r w:rsidR="00DC7908">
        <w:t>3</w:t>
      </w:r>
      <w:r>
        <w:t>.12.10</w:t>
      </w:r>
      <w:r w:rsidR="00DC7908">
        <w:t>0</w:t>
      </w:r>
    </w:p>
    <w:p w14:paraId="3144CB98" w14:textId="583087ED" w:rsidR="009C6DBB" w:rsidRDefault="009C6DBB" w:rsidP="009C6DBB">
      <w:pPr>
        <w:pStyle w:val="ListParagraph"/>
        <w:numPr>
          <w:ilvl w:val="0"/>
          <w:numId w:val="23"/>
        </w:numPr>
        <w:rPr>
          <w:sz w:val="24"/>
          <w:szCs w:val="24"/>
        </w:rPr>
      </w:pPr>
      <w:r>
        <w:rPr>
          <w:sz w:val="24"/>
          <w:szCs w:val="24"/>
        </w:rPr>
        <w:t xml:space="preserve">In </w:t>
      </w:r>
      <w:r w:rsidRPr="00AD6C5B">
        <w:rPr>
          <w:sz w:val="24"/>
          <w:szCs w:val="24"/>
        </w:rPr>
        <w:t>December 202</w:t>
      </w:r>
      <w:r w:rsidR="00BD73C8">
        <w:rPr>
          <w:sz w:val="24"/>
          <w:szCs w:val="24"/>
        </w:rPr>
        <w:t>3</w:t>
      </w:r>
      <w:r w:rsidRPr="00AD6C5B">
        <w:rPr>
          <w:sz w:val="24"/>
          <w:szCs w:val="24"/>
        </w:rPr>
        <w:t xml:space="preserve"> N</w:t>
      </w:r>
      <w:r w:rsidR="003C422C">
        <w:rPr>
          <w:sz w:val="24"/>
          <w:szCs w:val="24"/>
        </w:rPr>
        <w:t>orthWestern</w:t>
      </w:r>
      <w:r w:rsidRPr="00AD6C5B">
        <w:rPr>
          <w:sz w:val="24"/>
          <w:szCs w:val="24"/>
        </w:rPr>
        <w:t xml:space="preserve"> filed its annual electric and </w:t>
      </w:r>
      <w:r>
        <w:rPr>
          <w:sz w:val="24"/>
          <w:szCs w:val="24"/>
        </w:rPr>
        <w:t xml:space="preserve">natural </w:t>
      </w:r>
      <w:r w:rsidRPr="00AD6C5B">
        <w:rPr>
          <w:sz w:val="24"/>
          <w:szCs w:val="24"/>
        </w:rPr>
        <w:t xml:space="preserve">gas tax </w:t>
      </w:r>
      <w:r w:rsidRPr="00DF0D8A">
        <w:rPr>
          <w:sz w:val="24"/>
          <w:szCs w:val="24"/>
        </w:rPr>
        <w:t>tracker filing.</w:t>
      </w:r>
    </w:p>
    <w:p w14:paraId="7E5564F7" w14:textId="07B86C76" w:rsidR="009C6DBB" w:rsidRDefault="009C6DBB" w:rsidP="009C6DBB">
      <w:pPr>
        <w:pStyle w:val="ListParagraph"/>
        <w:numPr>
          <w:ilvl w:val="0"/>
          <w:numId w:val="23"/>
        </w:numPr>
        <w:rPr>
          <w:sz w:val="24"/>
          <w:szCs w:val="24"/>
        </w:rPr>
      </w:pPr>
      <w:r w:rsidRPr="00DF0D8A">
        <w:rPr>
          <w:sz w:val="24"/>
          <w:szCs w:val="24"/>
        </w:rPr>
        <w:t>Mont. Code Ann. § 69-3-308(2)(b)</w:t>
      </w:r>
      <w:r>
        <w:rPr>
          <w:sz w:val="24"/>
          <w:szCs w:val="24"/>
        </w:rPr>
        <w:t xml:space="preserve"> authorizes </w:t>
      </w:r>
      <w:r w:rsidR="003C422C">
        <w:rPr>
          <w:sz w:val="24"/>
          <w:szCs w:val="24"/>
        </w:rPr>
        <w:t xml:space="preserve">utilities to </w:t>
      </w:r>
      <w:r>
        <w:rPr>
          <w:sz w:val="24"/>
          <w:szCs w:val="24"/>
        </w:rPr>
        <w:t>automatic</w:t>
      </w:r>
      <w:r w:rsidR="00C523C3">
        <w:rPr>
          <w:sz w:val="24"/>
          <w:szCs w:val="24"/>
        </w:rPr>
        <w:t>ally</w:t>
      </w:r>
      <w:r>
        <w:rPr>
          <w:sz w:val="24"/>
          <w:szCs w:val="24"/>
        </w:rPr>
        <w:t xml:space="preserve"> adjust</w:t>
      </w:r>
      <w:r w:rsidR="00C523C3">
        <w:rPr>
          <w:sz w:val="24"/>
          <w:szCs w:val="24"/>
        </w:rPr>
        <w:t xml:space="preserve"> their</w:t>
      </w:r>
      <w:r>
        <w:rPr>
          <w:sz w:val="24"/>
          <w:szCs w:val="24"/>
        </w:rPr>
        <w:t xml:space="preserve"> rates for changes in property taxes. Rate </w:t>
      </w:r>
      <w:r w:rsidR="00C523C3">
        <w:rPr>
          <w:sz w:val="24"/>
          <w:szCs w:val="24"/>
        </w:rPr>
        <w:t>adjustment</w:t>
      </w:r>
      <w:r w:rsidR="002C079F">
        <w:rPr>
          <w:sz w:val="24"/>
          <w:szCs w:val="24"/>
        </w:rPr>
        <w:t>s</w:t>
      </w:r>
      <w:r w:rsidR="00C523C3">
        <w:rPr>
          <w:sz w:val="24"/>
          <w:szCs w:val="24"/>
        </w:rPr>
        <w:t xml:space="preserve"> </w:t>
      </w:r>
      <w:r>
        <w:rPr>
          <w:sz w:val="24"/>
          <w:szCs w:val="24"/>
        </w:rPr>
        <w:t xml:space="preserve">take </w:t>
      </w:r>
      <w:r w:rsidRPr="00DF0D8A">
        <w:rPr>
          <w:sz w:val="24"/>
          <w:szCs w:val="24"/>
        </w:rPr>
        <w:t>effect Jan</w:t>
      </w:r>
      <w:r>
        <w:rPr>
          <w:sz w:val="24"/>
          <w:szCs w:val="24"/>
        </w:rPr>
        <w:t xml:space="preserve">uary </w:t>
      </w:r>
      <w:r w:rsidRPr="00DF0D8A">
        <w:rPr>
          <w:sz w:val="24"/>
          <w:szCs w:val="24"/>
        </w:rPr>
        <w:t>1</w:t>
      </w:r>
      <w:r>
        <w:rPr>
          <w:sz w:val="24"/>
          <w:szCs w:val="24"/>
        </w:rPr>
        <w:t xml:space="preserve"> each year</w:t>
      </w:r>
      <w:r w:rsidRPr="00DF0D8A">
        <w:rPr>
          <w:sz w:val="24"/>
          <w:szCs w:val="24"/>
        </w:rPr>
        <w:t>.</w:t>
      </w:r>
      <w:r w:rsidR="00DC7908">
        <w:rPr>
          <w:sz w:val="24"/>
          <w:szCs w:val="24"/>
        </w:rPr>
        <w:t xml:space="preserve"> If the Commission identifies any errors in NorthWestern’s rate calculations, the Commission may request public comment and order NorthWestern to address the errors or omissions.</w:t>
      </w:r>
    </w:p>
    <w:p w14:paraId="322E9F65" w14:textId="2AFF1BFA" w:rsidR="00DC7908" w:rsidRDefault="00A33FFC" w:rsidP="009C6DBB">
      <w:pPr>
        <w:pStyle w:val="ListParagraph"/>
        <w:numPr>
          <w:ilvl w:val="0"/>
          <w:numId w:val="23"/>
        </w:numPr>
        <w:rPr>
          <w:sz w:val="24"/>
          <w:szCs w:val="24"/>
        </w:rPr>
      </w:pPr>
      <w:r>
        <w:rPr>
          <w:sz w:val="24"/>
          <w:szCs w:val="24"/>
        </w:rPr>
        <w:t xml:space="preserve">In its </w:t>
      </w:r>
      <w:r w:rsidR="00C523C3">
        <w:rPr>
          <w:sz w:val="24"/>
          <w:szCs w:val="24"/>
        </w:rPr>
        <w:t>a</w:t>
      </w:r>
      <w:r>
        <w:rPr>
          <w:sz w:val="24"/>
          <w:szCs w:val="24"/>
        </w:rPr>
        <w:t>pplication, NorthWestern requests a decrease in electric rates for state and local taxes and fees of ($56) Million per year, inclusive of prior period over/(under) collections. NorthWestern requests a decrease in natural gas rates of ($19) Million.</w:t>
      </w:r>
    </w:p>
    <w:p w14:paraId="06372FE1" w14:textId="1AF56105" w:rsidR="00A33FFC" w:rsidRDefault="00A33FFC" w:rsidP="009C6DBB">
      <w:pPr>
        <w:pStyle w:val="ListParagraph"/>
        <w:numPr>
          <w:ilvl w:val="0"/>
          <w:numId w:val="23"/>
        </w:numPr>
        <w:rPr>
          <w:sz w:val="24"/>
          <w:szCs w:val="24"/>
        </w:rPr>
      </w:pPr>
      <w:r>
        <w:rPr>
          <w:sz w:val="24"/>
          <w:szCs w:val="24"/>
        </w:rPr>
        <w:t xml:space="preserve">For a typical residential electric customer using 750 kWh per month, NorthWestern’s </w:t>
      </w:r>
      <w:r w:rsidR="00C523C3">
        <w:rPr>
          <w:sz w:val="24"/>
          <w:szCs w:val="24"/>
        </w:rPr>
        <w:t>a</w:t>
      </w:r>
      <w:r>
        <w:rPr>
          <w:sz w:val="24"/>
          <w:szCs w:val="24"/>
        </w:rPr>
        <w:t xml:space="preserve">pplication results in a </w:t>
      </w:r>
      <w:r w:rsidR="00C523C3">
        <w:rPr>
          <w:sz w:val="24"/>
          <w:szCs w:val="24"/>
        </w:rPr>
        <w:t xml:space="preserve">bill </w:t>
      </w:r>
      <w:r>
        <w:rPr>
          <w:sz w:val="24"/>
          <w:szCs w:val="24"/>
        </w:rPr>
        <w:t>reduction of approximately $6.95 per month bill, or 6.15%.</w:t>
      </w:r>
    </w:p>
    <w:p w14:paraId="214E64D2" w14:textId="6B94E537" w:rsidR="0046215E" w:rsidRPr="00F31B4D" w:rsidRDefault="00A33FFC" w:rsidP="00F31B4D">
      <w:pPr>
        <w:pStyle w:val="ListParagraph"/>
        <w:numPr>
          <w:ilvl w:val="0"/>
          <w:numId w:val="23"/>
        </w:numPr>
        <w:rPr>
          <w:sz w:val="24"/>
          <w:szCs w:val="24"/>
        </w:rPr>
      </w:pPr>
      <w:r>
        <w:rPr>
          <w:sz w:val="24"/>
          <w:szCs w:val="24"/>
        </w:rPr>
        <w:t xml:space="preserve">For a typical natural gas customer using </w:t>
      </w:r>
      <w:r w:rsidR="002609D5">
        <w:rPr>
          <w:sz w:val="24"/>
          <w:szCs w:val="24"/>
        </w:rPr>
        <w:t xml:space="preserve">65 </w:t>
      </w:r>
      <w:proofErr w:type="spellStart"/>
      <w:r w:rsidR="002609D5">
        <w:rPr>
          <w:sz w:val="24"/>
          <w:szCs w:val="24"/>
        </w:rPr>
        <w:t>therms</w:t>
      </w:r>
      <w:proofErr w:type="spellEnd"/>
      <w:r w:rsidR="002609D5">
        <w:rPr>
          <w:sz w:val="24"/>
          <w:szCs w:val="24"/>
        </w:rPr>
        <w:t xml:space="preserve"> per month, </w:t>
      </w:r>
      <w:proofErr w:type="spellStart"/>
      <w:r w:rsidR="002609D5">
        <w:rPr>
          <w:sz w:val="24"/>
          <w:szCs w:val="24"/>
        </w:rPr>
        <w:t>NorthWestern’s</w:t>
      </w:r>
      <w:proofErr w:type="spellEnd"/>
      <w:r w:rsidR="002609D5">
        <w:rPr>
          <w:sz w:val="24"/>
          <w:szCs w:val="24"/>
        </w:rPr>
        <w:t xml:space="preserve"> </w:t>
      </w:r>
      <w:r w:rsidR="00C523C3">
        <w:rPr>
          <w:sz w:val="24"/>
          <w:szCs w:val="24"/>
        </w:rPr>
        <w:t>a</w:t>
      </w:r>
      <w:r w:rsidR="002609D5">
        <w:rPr>
          <w:sz w:val="24"/>
          <w:szCs w:val="24"/>
        </w:rPr>
        <w:t xml:space="preserve">pplication results in a </w:t>
      </w:r>
      <w:r w:rsidR="00C523C3">
        <w:rPr>
          <w:sz w:val="24"/>
          <w:szCs w:val="24"/>
        </w:rPr>
        <w:t xml:space="preserve">bill </w:t>
      </w:r>
      <w:r w:rsidR="002609D5">
        <w:rPr>
          <w:sz w:val="24"/>
          <w:szCs w:val="24"/>
        </w:rPr>
        <w:t>reduction of approximately $4.40 per month, or 7.46%.</w:t>
      </w:r>
    </w:p>
    <w:p w14:paraId="6E8899F1" w14:textId="16F9B516" w:rsidR="00F30243" w:rsidRPr="0013067E" w:rsidRDefault="00926B76" w:rsidP="00DD12F1">
      <w:pPr>
        <w:pStyle w:val="Heading1"/>
        <w:spacing w:after="240"/>
      </w:pPr>
      <w:r>
        <w:t>2</w:t>
      </w:r>
      <w:r w:rsidR="0013067E" w:rsidRPr="0013067E">
        <w:t xml:space="preserve">. </w:t>
      </w:r>
      <w:r w:rsidR="0013067E">
        <w:t xml:space="preserve">  </w:t>
      </w:r>
      <w:r w:rsidR="006D35E1">
        <w:t>PURPA Implementation</w:t>
      </w:r>
    </w:p>
    <w:p w14:paraId="295F1D3D" w14:textId="33734853" w:rsidR="00BF022F" w:rsidRDefault="00BF022F" w:rsidP="003F5584">
      <w:pPr>
        <w:pStyle w:val="Heading2"/>
      </w:pPr>
      <w:proofErr w:type="spellStart"/>
      <w:r>
        <w:t>ConEd</w:t>
      </w:r>
      <w:proofErr w:type="spellEnd"/>
      <w:r>
        <w:t xml:space="preserve"> Development Petition for Contract Rates and Terms – Dockets 2019.09.067 and 2019.10.076</w:t>
      </w:r>
    </w:p>
    <w:p w14:paraId="2DE716AA" w14:textId="660EB80A" w:rsidR="00BF022F" w:rsidRPr="007C3A57" w:rsidRDefault="00BF022F" w:rsidP="00CB6A79">
      <w:pPr>
        <w:pStyle w:val="ListParagraph"/>
        <w:numPr>
          <w:ilvl w:val="0"/>
          <w:numId w:val="18"/>
        </w:numPr>
        <w:rPr>
          <w:sz w:val="24"/>
          <w:szCs w:val="24"/>
        </w:rPr>
      </w:pPr>
      <w:r w:rsidRPr="007C3A57">
        <w:rPr>
          <w:sz w:val="24"/>
          <w:szCs w:val="24"/>
        </w:rPr>
        <w:t xml:space="preserve">In 2020 the Commission issued a series of </w:t>
      </w:r>
      <w:r w:rsidR="00D0284A">
        <w:rPr>
          <w:sz w:val="24"/>
          <w:szCs w:val="24"/>
        </w:rPr>
        <w:t>o</w:t>
      </w:r>
      <w:r w:rsidRPr="007C3A57">
        <w:rPr>
          <w:sz w:val="24"/>
          <w:szCs w:val="24"/>
        </w:rPr>
        <w:t xml:space="preserve">rders in response to petitions </w:t>
      </w:r>
      <w:r w:rsidR="00902323">
        <w:rPr>
          <w:sz w:val="24"/>
          <w:szCs w:val="24"/>
        </w:rPr>
        <w:t xml:space="preserve">by </w:t>
      </w:r>
      <w:proofErr w:type="spellStart"/>
      <w:r w:rsidR="00902323">
        <w:rPr>
          <w:sz w:val="24"/>
          <w:szCs w:val="24"/>
        </w:rPr>
        <w:t>ConEd</w:t>
      </w:r>
      <w:proofErr w:type="spellEnd"/>
      <w:r w:rsidR="00902323">
        <w:rPr>
          <w:sz w:val="24"/>
          <w:szCs w:val="24"/>
        </w:rPr>
        <w:t xml:space="preserve"> Development </w:t>
      </w:r>
      <w:r w:rsidR="00A6479F">
        <w:rPr>
          <w:sz w:val="24"/>
          <w:szCs w:val="24"/>
        </w:rPr>
        <w:t xml:space="preserve">(CED) </w:t>
      </w:r>
      <w:r w:rsidR="00D551A3">
        <w:rPr>
          <w:sz w:val="24"/>
          <w:szCs w:val="24"/>
        </w:rPr>
        <w:t xml:space="preserve">requesting contract rates and terms </w:t>
      </w:r>
      <w:r w:rsidR="00902323">
        <w:rPr>
          <w:sz w:val="24"/>
          <w:szCs w:val="24"/>
        </w:rPr>
        <w:t xml:space="preserve">for </w:t>
      </w:r>
      <w:r w:rsidRPr="007C3A57">
        <w:rPr>
          <w:sz w:val="24"/>
          <w:szCs w:val="24"/>
        </w:rPr>
        <w:t>three separate QFs</w:t>
      </w:r>
      <w:r w:rsidR="002A2CF0">
        <w:rPr>
          <w:sz w:val="24"/>
          <w:szCs w:val="24"/>
        </w:rPr>
        <w:t xml:space="preserve"> comprising about 120 MW of wind generation</w:t>
      </w:r>
      <w:r w:rsidRPr="007C3A57">
        <w:rPr>
          <w:sz w:val="24"/>
          <w:szCs w:val="24"/>
        </w:rPr>
        <w:t>.</w:t>
      </w:r>
    </w:p>
    <w:p w14:paraId="41F8313B" w14:textId="48A366AD" w:rsidR="00BF022F" w:rsidRDefault="000D3791" w:rsidP="00CB6A79">
      <w:pPr>
        <w:pStyle w:val="ListParagraph"/>
        <w:numPr>
          <w:ilvl w:val="0"/>
          <w:numId w:val="18"/>
        </w:numPr>
        <w:rPr>
          <w:sz w:val="24"/>
          <w:szCs w:val="24"/>
        </w:rPr>
      </w:pPr>
      <w:r w:rsidRPr="007C3A57">
        <w:rPr>
          <w:sz w:val="24"/>
          <w:szCs w:val="24"/>
        </w:rPr>
        <w:t xml:space="preserve">Petitions for </w:t>
      </w:r>
      <w:r w:rsidR="00D0284A">
        <w:rPr>
          <w:sz w:val="24"/>
          <w:szCs w:val="24"/>
        </w:rPr>
        <w:t>j</w:t>
      </w:r>
      <w:r w:rsidRPr="007C3A57">
        <w:rPr>
          <w:sz w:val="24"/>
          <w:szCs w:val="24"/>
        </w:rPr>
        <w:t xml:space="preserve">udicial </w:t>
      </w:r>
      <w:r w:rsidR="00D0284A">
        <w:rPr>
          <w:sz w:val="24"/>
          <w:szCs w:val="24"/>
        </w:rPr>
        <w:t>r</w:t>
      </w:r>
      <w:r w:rsidRPr="007C3A57">
        <w:rPr>
          <w:sz w:val="24"/>
          <w:szCs w:val="24"/>
        </w:rPr>
        <w:t xml:space="preserve">eview </w:t>
      </w:r>
      <w:r w:rsidR="00902323">
        <w:rPr>
          <w:sz w:val="24"/>
          <w:szCs w:val="24"/>
        </w:rPr>
        <w:t xml:space="preserve">of the orders </w:t>
      </w:r>
      <w:r w:rsidRPr="007C3A57">
        <w:rPr>
          <w:sz w:val="24"/>
          <w:szCs w:val="24"/>
        </w:rPr>
        <w:t xml:space="preserve">were filed by </w:t>
      </w:r>
      <w:r w:rsidR="00A6479F">
        <w:rPr>
          <w:sz w:val="24"/>
          <w:szCs w:val="24"/>
        </w:rPr>
        <w:t>CED</w:t>
      </w:r>
      <w:r w:rsidRPr="007C3A57">
        <w:rPr>
          <w:sz w:val="24"/>
          <w:szCs w:val="24"/>
        </w:rPr>
        <w:t xml:space="preserve"> in the First Judicial District Court and the Court consolidated the matters into a single case.</w:t>
      </w:r>
    </w:p>
    <w:p w14:paraId="30890BEA" w14:textId="53B68062" w:rsidR="007C3A57" w:rsidRPr="007C3A57" w:rsidRDefault="007C3A57" w:rsidP="00CB6A79">
      <w:pPr>
        <w:pStyle w:val="ListParagraph"/>
        <w:numPr>
          <w:ilvl w:val="0"/>
          <w:numId w:val="18"/>
        </w:numPr>
        <w:rPr>
          <w:sz w:val="24"/>
          <w:szCs w:val="24"/>
        </w:rPr>
      </w:pPr>
      <w:r>
        <w:rPr>
          <w:sz w:val="24"/>
          <w:szCs w:val="24"/>
        </w:rPr>
        <w:t xml:space="preserve">In pertinent part, the issues on appeal involved the Commission’s jurisdiction over, </w:t>
      </w:r>
      <w:r w:rsidR="00D0284A">
        <w:rPr>
          <w:sz w:val="24"/>
          <w:szCs w:val="24"/>
        </w:rPr>
        <w:t xml:space="preserve">and </w:t>
      </w:r>
      <w:r>
        <w:rPr>
          <w:sz w:val="24"/>
          <w:szCs w:val="24"/>
        </w:rPr>
        <w:t>determinations regarding, the QFs’ responsibilit</w:t>
      </w:r>
      <w:r w:rsidR="002A2CF0">
        <w:rPr>
          <w:sz w:val="24"/>
          <w:szCs w:val="24"/>
        </w:rPr>
        <w:t>ies</w:t>
      </w:r>
      <w:r>
        <w:rPr>
          <w:sz w:val="24"/>
          <w:szCs w:val="24"/>
        </w:rPr>
        <w:t xml:space="preserve"> for costs to upgrade NorthWestern’s transmission system to accommodate the receipt and delivery of the QFs’ energy</w:t>
      </w:r>
      <w:r w:rsidR="00D3764A">
        <w:rPr>
          <w:sz w:val="24"/>
          <w:szCs w:val="24"/>
        </w:rPr>
        <w:t xml:space="preserve"> and capacity</w:t>
      </w:r>
      <w:r>
        <w:rPr>
          <w:sz w:val="24"/>
          <w:szCs w:val="24"/>
        </w:rPr>
        <w:t xml:space="preserve">. </w:t>
      </w:r>
    </w:p>
    <w:p w14:paraId="300AEF77" w14:textId="4650C08C" w:rsidR="000D3791" w:rsidRPr="007C3A57" w:rsidRDefault="000D3791" w:rsidP="00CB6A79">
      <w:pPr>
        <w:pStyle w:val="ListParagraph"/>
        <w:numPr>
          <w:ilvl w:val="0"/>
          <w:numId w:val="18"/>
        </w:numPr>
        <w:rPr>
          <w:sz w:val="24"/>
          <w:szCs w:val="24"/>
        </w:rPr>
      </w:pPr>
      <w:r w:rsidRPr="007C3A57">
        <w:rPr>
          <w:sz w:val="24"/>
          <w:szCs w:val="24"/>
        </w:rPr>
        <w:t xml:space="preserve">The </w:t>
      </w:r>
      <w:r w:rsidR="00D3764A">
        <w:rPr>
          <w:sz w:val="24"/>
          <w:szCs w:val="24"/>
        </w:rPr>
        <w:t xml:space="preserve">District </w:t>
      </w:r>
      <w:r w:rsidRPr="007C3A57">
        <w:rPr>
          <w:sz w:val="24"/>
          <w:szCs w:val="24"/>
        </w:rPr>
        <w:t>Court affirmed the Commission’s orders.</w:t>
      </w:r>
    </w:p>
    <w:p w14:paraId="3AB2BBEB" w14:textId="40F03B85" w:rsidR="000D3791" w:rsidRPr="007C3A57" w:rsidRDefault="000D3791" w:rsidP="00CB6A79">
      <w:pPr>
        <w:pStyle w:val="ListParagraph"/>
        <w:numPr>
          <w:ilvl w:val="0"/>
          <w:numId w:val="18"/>
        </w:numPr>
        <w:rPr>
          <w:sz w:val="24"/>
          <w:szCs w:val="24"/>
        </w:rPr>
      </w:pPr>
      <w:r w:rsidRPr="007C3A57">
        <w:rPr>
          <w:sz w:val="24"/>
          <w:szCs w:val="24"/>
        </w:rPr>
        <w:t>In May 2021 the QFs appealed to the Montana Supreme Court.</w:t>
      </w:r>
    </w:p>
    <w:p w14:paraId="24333D3E" w14:textId="5B283B46" w:rsidR="000D3791" w:rsidRDefault="000D3791" w:rsidP="00CB6A79">
      <w:pPr>
        <w:pStyle w:val="ListParagraph"/>
        <w:numPr>
          <w:ilvl w:val="0"/>
          <w:numId w:val="18"/>
        </w:numPr>
        <w:rPr>
          <w:sz w:val="24"/>
          <w:szCs w:val="24"/>
        </w:rPr>
      </w:pPr>
      <w:r w:rsidRPr="007C3A57">
        <w:rPr>
          <w:sz w:val="24"/>
          <w:szCs w:val="24"/>
        </w:rPr>
        <w:t>In May 2022 the Supreme Court affirmed in part and remanded in part.</w:t>
      </w:r>
    </w:p>
    <w:p w14:paraId="681DA3E4" w14:textId="0C23411D" w:rsidR="007C3A57" w:rsidRDefault="007C3A57" w:rsidP="00CB6A79">
      <w:pPr>
        <w:pStyle w:val="ListParagraph"/>
        <w:numPr>
          <w:ilvl w:val="0"/>
          <w:numId w:val="18"/>
        </w:numPr>
        <w:rPr>
          <w:sz w:val="24"/>
          <w:szCs w:val="24"/>
        </w:rPr>
      </w:pPr>
      <w:r>
        <w:rPr>
          <w:sz w:val="24"/>
          <w:szCs w:val="24"/>
        </w:rPr>
        <w:t xml:space="preserve">The Supreme Court affirmed the Commission’s </w:t>
      </w:r>
      <w:r w:rsidR="00D0284A">
        <w:rPr>
          <w:sz w:val="24"/>
          <w:szCs w:val="24"/>
        </w:rPr>
        <w:t>jurisdiction but</w:t>
      </w:r>
      <w:r>
        <w:rPr>
          <w:sz w:val="24"/>
          <w:szCs w:val="24"/>
        </w:rPr>
        <w:t xml:space="preserve"> remanded the cases to the Commission for further proceedings regarding </w:t>
      </w:r>
      <w:r w:rsidR="007B7DCB">
        <w:rPr>
          <w:sz w:val="24"/>
          <w:szCs w:val="24"/>
        </w:rPr>
        <w:t xml:space="preserve">the proper apportionment of the cost of </w:t>
      </w:r>
      <w:r w:rsidR="00A6479F">
        <w:rPr>
          <w:sz w:val="24"/>
          <w:szCs w:val="24"/>
        </w:rPr>
        <w:t xml:space="preserve">transmission </w:t>
      </w:r>
      <w:r w:rsidR="007B7DCB">
        <w:rPr>
          <w:sz w:val="24"/>
          <w:szCs w:val="24"/>
        </w:rPr>
        <w:t xml:space="preserve">system upgrades among the QFs, NorthWestern’s customers, </w:t>
      </w:r>
      <w:r w:rsidR="002C079F">
        <w:rPr>
          <w:sz w:val="24"/>
          <w:szCs w:val="24"/>
        </w:rPr>
        <w:t>and</w:t>
      </w:r>
      <w:r w:rsidR="007B7DCB">
        <w:rPr>
          <w:sz w:val="24"/>
          <w:szCs w:val="24"/>
        </w:rPr>
        <w:t xml:space="preserve"> other energy projects.</w:t>
      </w:r>
    </w:p>
    <w:p w14:paraId="0F26E365" w14:textId="115807FA" w:rsidR="005B2EF1" w:rsidRDefault="00003615" w:rsidP="00CB6A79">
      <w:pPr>
        <w:pStyle w:val="ListParagraph"/>
        <w:numPr>
          <w:ilvl w:val="0"/>
          <w:numId w:val="18"/>
        </w:numPr>
        <w:rPr>
          <w:sz w:val="24"/>
          <w:szCs w:val="24"/>
        </w:rPr>
      </w:pPr>
      <w:r>
        <w:rPr>
          <w:sz w:val="24"/>
          <w:szCs w:val="24"/>
        </w:rPr>
        <w:t xml:space="preserve">In </w:t>
      </w:r>
      <w:r w:rsidR="005733CA">
        <w:rPr>
          <w:sz w:val="24"/>
          <w:szCs w:val="24"/>
        </w:rPr>
        <w:t>August 2</w:t>
      </w:r>
      <w:r>
        <w:rPr>
          <w:sz w:val="24"/>
          <w:szCs w:val="24"/>
        </w:rPr>
        <w:t>022</w:t>
      </w:r>
      <w:r w:rsidR="005733CA">
        <w:rPr>
          <w:sz w:val="24"/>
          <w:szCs w:val="24"/>
        </w:rPr>
        <w:t xml:space="preserve"> the Commission issued a procedural order </w:t>
      </w:r>
      <w:r w:rsidR="00A6479F">
        <w:rPr>
          <w:sz w:val="24"/>
          <w:szCs w:val="24"/>
        </w:rPr>
        <w:t>for remand proceedings.</w:t>
      </w:r>
    </w:p>
    <w:p w14:paraId="3A704696" w14:textId="6A71F15A" w:rsidR="007B7DCB" w:rsidRDefault="005733CA" w:rsidP="00CB6A79">
      <w:pPr>
        <w:pStyle w:val="ListParagraph"/>
        <w:numPr>
          <w:ilvl w:val="0"/>
          <w:numId w:val="18"/>
        </w:numPr>
        <w:rPr>
          <w:sz w:val="24"/>
          <w:szCs w:val="24"/>
        </w:rPr>
      </w:pPr>
      <w:r>
        <w:rPr>
          <w:sz w:val="24"/>
          <w:szCs w:val="24"/>
        </w:rPr>
        <w:t>Commission staff hosted a workshop with the parties</w:t>
      </w:r>
      <w:r w:rsidR="005B2EF1">
        <w:rPr>
          <w:sz w:val="24"/>
          <w:szCs w:val="24"/>
        </w:rPr>
        <w:t xml:space="preserve"> </w:t>
      </w:r>
      <w:r w:rsidR="004707CB">
        <w:rPr>
          <w:sz w:val="24"/>
          <w:szCs w:val="24"/>
        </w:rPr>
        <w:t>to</w:t>
      </w:r>
      <w:r w:rsidR="005B2EF1">
        <w:rPr>
          <w:sz w:val="24"/>
          <w:szCs w:val="24"/>
        </w:rPr>
        <w:t xml:space="preserve"> </w:t>
      </w:r>
      <w:r w:rsidR="004707CB">
        <w:rPr>
          <w:sz w:val="24"/>
          <w:szCs w:val="24"/>
        </w:rPr>
        <w:t>explore</w:t>
      </w:r>
      <w:r w:rsidR="005B2EF1">
        <w:rPr>
          <w:sz w:val="24"/>
          <w:szCs w:val="24"/>
        </w:rPr>
        <w:t xml:space="preserve"> </w:t>
      </w:r>
      <w:r w:rsidR="004707CB">
        <w:rPr>
          <w:sz w:val="24"/>
          <w:szCs w:val="24"/>
        </w:rPr>
        <w:t xml:space="preserve">any areas of agreement that would allow the parties to </w:t>
      </w:r>
      <w:r w:rsidR="005B2EF1">
        <w:rPr>
          <w:sz w:val="24"/>
          <w:szCs w:val="24"/>
        </w:rPr>
        <w:t>narrow the scope of contested issues</w:t>
      </w:r>
      <w:r>
        <w:rPr>
          <w:sz w:val="24"/>
          <w:szCs w:val="24"/>
        </w:rPr>
        <w:t>.</w:t>
      </w:r>
    </w:p>
    <w:p w14:paraId="0FCB404C" w14:textId="68A96DD6" w:rsidR="00D3764A" w:rsidRDefault="00A6479F" w:rsidP="00CB6A79">
      <w:pPr>
        <w:pStyle w:val="ListParagraph"/>
        <w:numPr>
          <w:ilvl w:val="0"/>
          <w:numId w:val="18"/>
        </w:numPr>
        <w:rPr>
          <w:sz w:val="24"/>
          <w:szCs w:val="24"/>
        </w:rPr>
      </w:pPr>
      <w:r>
        <w:rPr>
          <w:sz w:val="24"/>
          <w:szCs w:val="24"/>
        </w:rPr>
        <w:t>T</w:t>
      </w:r>
      <w:r w:rsidR="00D3764A">
        <w:rPr>
          <w:sz w:val="24"/>
          <w:szCs w:val="24"/>
        </w:rPr>
        <w:t xml:space="preserve">estimony from NorthWestern and </w:t>
      </w:r>
      <w:r>
        <w:rPr>
          <w:sz w:val="24"/>
          <w:szCs w:val="24"/>
        </w:rPr>
        <w:t xml:space="preserve">CED </w:t>
      </w:r>
      <w:r w:rsidR="00D3764A">
        <w:rPr>
          <w:sz w:val="24"/>
          <w:szCs w:val="24"/>
        </w:rPr>
        <w:t>was filed in September 2022, and rebuttal testimony from both parties was filed in December 2022.</w:t>
      </w:r>
    </w:p>
    <w:p w14:paraId="724AB36F" w14:textId="500D9AD9" w:rsidR="00D3764A" w:rsidRDefault="00D3764A" w:rsidP="00CB6A79">
      <w:pPr>
        <w:pStyle w:val="ListParagraph"/>
        <w:numPr>
          <w:ilvl w:val="0"/>
          <w:numId w:val="18"/>
        </w:numPr>
        <w:rPr>
          <w:sz w:val="24"/>
          <w:szCs w:val="24"/>
        </w:rPr>
      </w:pPr>
      <w:r>
        <w:rPr>
          <w:sz w:val="24"/>
          <w:szCs w:val="24"/>
        </w:rPr>
        <w:t xml:space="preserve">The Commission conducted a public hearing </w:t>
      </w:r>
      <w:r w:rsidR="00C523C3">
        <w:rPr>
          <w:sz w:val="24"/>
          <w:szCs w:val="24"/>
        </w:rPr>
        <w:t xml:space="preserve">in </w:t>
      </w:r>
      <w:r>
        <w:rPr>
          <w:sz w:val="24"/>
          <w:szCs w:val="24"/>
        </w:rPr>
        <w:t>February 2023.</w:t>
      </w:r>
    </w:p>
    <w:p w14:paraId="2F9A85BF" w14:textId="6233422E" w:rsidR="00D3764A" w:rsidRDefault="00D3764A" w:rsidP="00CB6A79">
      <w:pPr>
        <w:pStyle w:val="ListParagraph"/>
        <w:numPr>
          <w:ilvl w:val="0"/>
          <w:numId w:val="18"/>
        </w:numPr>
        <w:rPr>
          <w:sz w:val="24"/>
          <w:szCs w:val="24"/>
        </w:rPr>
      </w:pPr>
      <w:r>
        <w:rPr>
          <w:sz w:val="24"/>
          <w:szCs w:val="24"/>
        </w:rPr>
        <w:t>Post hearing briefing by the parties was completed in June 2023.</w:t>
      </w:r>
    </w:p>
    <w:p w14:paraId="6A244EDD" w14:textId="02759C81" w:rsidR="00A6479F" w:rsidRDefault="00A6479F" w:rsidP="00CB6A79">
      <w:pPr>
        <w:pStyle w:val="ListParagraph"/>
        <w:numPr>
          <w:ilvl w:val="0"/>
          <w:numId w:val="18"/>
        </w:numPr>
        <w:rPr>
          <w:sz w:val="24"/>
          <w:szCs w:val="24"/>
        </w:rPr>
      </w:pPr>
      <w:r>
        <w:rPr>
          <w:sz w:val="24"/>
          <w:szCs w:val="24"/>
        </w:rPr>
        <w:t>The Commission issued a final order in the remand proceedings in November 2023 approving a</w:t>
      </w:r>
      <w:r w:rsidR="00C523C3">
        <w:rPr>
          <w:sz w:val="24"/>
          <w:szCs w:val="24"/>
        </w:rPr>
        <w:t xml:space="preserve"> transmission upgrade cost</w:t>
      </w:r>
      <w:r>
        <w:rPr>
          <w:sz w:val="24"/>
          <w:szCs w:val="24"/>
        </w:rPr>
        <w:t xml:space="preserve"> allocation method proposed by NorthWestern and finding that CED was not entitled to reimbursement for </w:t>
      </w:r>
      <w:r w:rsidR="00501F14">
        <w:rPr>
          <w:sz w:val="24"/>
          <w:szCs w:val="24"/>
        </w:rPr>
        <w:t>transmission system upgrade costs allocated to it</w:t>
      </w:r>
      <w:r w:rsidR="00C523C3">
        <w:rPr>
          <w:sz w:val="24"/>
          <w:szCs w:val="24"/>
        </w:rPr>
        <w:t xml:space="preserve"> pursuant to that method</w:t>
      </w:r>
      <w:r w:rsidR="00501F14">
        <w:rPr>
          <w:sz w:val="24"/>
          <w:szCs w:val="24"/>
        </w:rPr>
        <w:t>.</w:t>
      </w:r>
    </w:p>
    <w:p w14:paraId="5D861300" w14:textId="5B3B43C6" w:rsidR="00501F14" w:rsidRDefault="00501F14" w:rsidP="00CB6A79">
      <w:pPr>
        <w:pStyle w:val="ListParagraph"/>
        <w:numPr>
          <w:ilvl w:val="0"/>
          <w:numId w:val="18"/>
        </w:numPr>
        <w:rPr>
          <w:sz w:val="24"/>
          <w:szCs w:val="24"/>
        </w:rPr>
      </w:pPr>
      <w:r>
        <w:rPr>
          <w:sz w:val="24"/>
          <w:szCs w:val="24"/>
        </w:rPr>
        <w:t>In December</w:t>
      </w:r>
      <w:r w:rsidR="00C523C3">
        <w:rPr>
          <w:sz w:val="24"/>
          <w:szCs w:val="24"/>
        </w:rPr>
        <w:t xml:space="preserve"> 2023 </w:t>
      </w:r>
      <w:r>
        <w:rPr>
          <w:sz w:val="24"/>
          <w:szCs w:val="24"/>
        </w:rPr>
        <w:t>CED filed a motion for reconsideration of the Commission’s final order and NorthWestern filed a motion for leave to file a response to CED’s motion.</w:t>
      </w:r>
    </w:p>
    <w:p w14:paraId="27A9EB21" w14:textId="148ADDE0" w:rsidR="00C523C3" w:rsidRPr="007C3A57" w:rsidRDefault="00C523C3" w:rsidP="00CB6A79">
      <w:pPr>
        <w:pStyle w:val="ListParagraph"/>
        <w:numPr>
          <w:ilvl w:val="0"/>
          <w:numId w:val="18"/>
        </w:numPr>
        <w:rPr>
          <w:sz w:val="24"/>
          <w:szCs w:val="24"/>
        </w:rPr>
      </w:pPr>
      <w:r>
        <w:rPr>
          <w:sz w:val="24"/>
          <w:szCs w:val="24"/>
        </w:rPr>
        <w:t>The Commission is reviewing CED’s motion and NorthWestern’s response.</w:t>
      </w:r>
    </w:p>
    <w:p w14:paraId="078259FA" w14:textId="77777777" w:rsidR="00BF022F" w:rsidRDefault="00BF022F" w:rsidP="003F5584">
      <w:pPr>
        <w:pStyle w:val="Heading2"/>
      </w:pPr>
    </w:p>
    <w:p w14:paraId="101DE128" w14:textId="1B46899C" w:rsidR="00503240" w:rsidRDefault="00503240" w:rsidP="00503240">
      <w:pPr>
        <w:pStyle w:val="Heading2"/>
      </w:pPr>
      <w:r>
        <w:t xml:space="preserve">Colstrip Energy Limited Partnership Petition – </w:t>
      </w:r>
      <w:r w:rsidR="007C55EB">
        <w:t xml:space="preserve">Docket </w:t>
      </w:r>
      <w:r>
        <w:t>2022.07.073</w:t>
      </w:r>
    </w:p>
    <w:p w14:paraId="1120465B" w14:textId="739351CE" w:rsidR="00503240" w:rsidRDefault="0012111C" w:rsidP="00CB6A79">
      <w:pPr>
        <w:pStyle w:val="ListParagraph"/>
        <w:numPr>
          <w:ilvl w:val="0"/>
          <w:numId w:val="19"/>
        </w:numPr>
        <w:rPr>
          <w:sz w:val="24"/>
          <w:szCs w:val="24"/>
        </w:rPr>
      </w:pPr>
      <w:r>
        <w:rPr>
          <w:sz w:val="24"/>
          <w:szCs w:val="24"/>
        </w:rPr>
        <w:t xml:space="preserve">In </w:t>
      </w:r>
      <w:r w:rsidR="00503240">
        <w:rPr>
          <w:sz w:val="24"/>
          <w:szCs w:val="24"/>
        </w:rPr>
        <w:t xml:space="preserve">July 2022 </w:t>
      </w:r>
      <w:r w:rsidR="004D4B20">
        <w:rPr>
          <w:sz w:val="24"/>
          <w:szCs w:val="24"/>
        </w:rPr>
        <w:t>Colstrip Energy Limited Partnership (</w:t>
      </w:r>
      <w:r w:rsidR="00503240">
        <w:rPr>
          <w:sz w:val="24"/>
          <w:szCs w:val="24"/>
        </w:rPr>
        <w:t>CELP</w:t>
      </w:r>
      <w:r w:rsidR="004D4B20">
        <w:rPr>
          <w:sz w:val="24"/>
          <w:szCs w:val="24"/>
        </w:rPr>
        <w:t>)</w:t>
      </w:r>
      <w:r w:rsidR="00503240">
        <w:rPr>
          <w:sz w:val="24"/>
          <w:szCs w:val="24"/>
        </w:rPr>
        <w:t xml:space="preserve"> filed a petition requesting the Commission </w:t>
      </w:r>
      <w:r w:rsidR="000F51EF">
        <w:rPr>
          <w:sz w:val="24"/>
          <w:szCs w:val="24"/>
        </w:rPr>
        <w:t xml:space="preserve">to </w:t>
      </w:r>
      <w:r w:rsidR="00503240">
        <w:rPr>
          <w:sz w:val="24"/>
          <w:szCs w:val="24"/>
        </w:rPr>
        <w:t>establish the contract rates and terms of a QF power purchase and sale agreement</w:t>
      </w:r>
      <w:r w:rsidR="009752EE">
        <w:rPr>
          <w:sz w:val="24"/>
          <w:szCs w:val="24"/>
        </w:rPr>
        <w:t xml:space="preserve"> with NorthWestern</w:t>
      </w:r>
      <w:r w:rsidR="00503240">
        <w:rPr>
          <w:sz w:val="24"/>
          <w:szCs w:val="24"/>
        </w:rPr>
        <w:t>.</w:t>
      </w:r>
    </w:p>
    <w:p w14:paraId="2564DE19" w14:textId="405D3975" w:rsidR="009752EE" w:rsidRDefault="00503240" w:rsidP="00CB6A79">
      <w:pPr>
        <w:pStyle w:val="ListParagraph"/>
        <w:numPr>
          <w:ilvl w:val="0"/>
          <w:numId w:val="19"/>
        </w:numPr>
        <w:rPr>
          <w:sz w:val="24"/>
          <w:szCs w:val="24"/>
        </w:rPr>
      </w:pPr>
      <w:r>
        <w:rPr>
          <w:sz w:val="24"/>
          <w:szCs w:val="24"/>
        </w:rPr>
        <w:t xml:space="preserve">CELP </w:t>
      </w:r>
      <w:r w:rsidR="009752EE">
        <w:rPr>
          <w:sz w:val="24"/>
          <w:szCs w:val="24"/>
        </w:rPr>
        <w:t>is a</w:t>
      </w:r>
      <w:r w:rsidR="004D4B20">
        <w:rPr>
          <w:sz w:val="24"/>
          <w:szCs w:val="24"/>
        </w:rPr>
        <w:t>n existing</w:t>
      </w:r>
      <w:r w:rsidR="009752EE">
        <w:rPr>
          <w:sz w:val="24"/>
          <w:szCs w:val="24"/>
        </w:rPr>
        <w:t xml:space="preserve"> QF that operates the Rosebud Power Plant, a 42 MW waste coal</w:t>
      </w:r>
      <w:r w:rsidR="004D3763">
        <w:rPr>
          <w:sz w:val="24"/>
          <w:szCs w:val="24"/>
        </w:rPr>
        <w:t>-fired</w:t>
      </w:r>
      <w:r w:rsidR="009752EE">
        <w:rPr>
          <w:sz w:val="24"/>
          <w:szCs w:val="24"/>
        </w:rPr>
        <w:t xml:space="preserve"> generator near Colstrip, Montana.</w:t>
      </w:r>
    </w:p>
    <w:p w14:paraId="2EEFFBEA" w14:textId="42E62360" w:rsidR="00503240" w:rsidRDefault="009752EE" w:rsidP="00CB6A79">
      <w:pPr>
        <w:pStyle w:val="ListParagraph"/>
        <w:numPr>
          <w:ilvl w:val="0"/>
          <w:numId w:val="19"/>
        </w:numPr>
        <w:rPr>
          <w:sz w:val="24"/>
          <w:szCs w:val="24"/>
        </w:rPr>
      </w:pPr>
      <w:r>
        <w:rPr>
          <w:sz w:val="24"/>
          <w:szCs w:val="24"/>
        </w:rPr>
        <w:t xml:space="preserve">CELP and </w:t>
      </w:r>
      <w:r w:rsidR="00503240">
        <w:rPr>
          <w:sz w:val="24"/>
          <w:szCs w:val="24"/>
        </w:rPr>
        <w:t xml:space="preserve">NorthWestern </w:t>
      </w:r>
      <w:r>
        <w:rPr>
          <w:sz w:val="24"/>
          <w:szCs w:val="24"/>
        </w:rPr>
        <w:t xml:space="preserve">have an existing contract </w:t>
      </w:r>
      <w:r w:rsidR="00503240">
        <w:rPr>
          <w:sz w:val="24"/>
          <w:szCs w:val="24"/>
        </w:rPr>
        <w:t xml:space="preserve">that expires </w:t>
      </w:r>
      <w:r w:rsidR="004D3763">
        <w:rPr>
          <w:sz w:val="24"/>
          <w:szCs w:val="24"/>
        </w:rPr>
        <w:t>on June 30, 2024.</w:t>
      </w:r>
    </w:p>
    <w:p w14:paraId="40363E7A" w14:textId="39537C6F" w:rsidR="00735F23" w:rsidRDefault="00735F23" w:rsidP="00735F23">
      <w:pPr>
        <w:pStyle w:val="ListParagraph"/>
        <w:numPr>
          <w:ilvl w:val="0"/>
          <w:numId w:val="19"/>
        </w:numPr>
        <w:rPr>
          <w:sz w:val="24"/>
          <w:szCs w:val="24"/>
        </w:rPr>
      </w:pPr>
      <w:r w:rsidRPr="00735F23">
        <w:rPr>
          <w:sz w:val="24"/>
          <w:szCs w:val="24"/>
        </w:rPr>
        <w:t>NorthWestern and the Consumer Counsel filed testimony on CELP’s petition in September 2022</w:t>
      </w:r>
      <w:r>
        <w:rPr>
          <w:sz w:val="24"/>
          <w:szCs w:val="24"/>
        </w:rPr>
        <w:t xml:space="preserve"> and </w:t>
      </w:r>
      <w:r w:rsidRPr="00735F23">
        <w:rPr>
          <w:sz w:val="24"/>
          <w:szCs w:val="24"/>
        </w:rPr>
        <w:t>CELP filed rebuttal testimony in October 2022.</w:t>
      </w:r>
    </w:p>
    <w:p w14:paraId="7F96F5ED" w14:textId="773F9E61" w:rsidR="00735F23" w:rsidRDefault="00735F23" w:rsidP="00735F23">
      <w:pPr>
        <w:pStyle w:val="ListParagraph"/>
        <w:numPr>
          <w:ilvl w:val="0"/>
          <w:numId w:val="19"/>
        </w:numPr>
        <w:rPr>
          <w:sz w:val="24"/>
          <w:szCs w:val="24"/>
        </w:rPr>
      </w:pPr>
      <w:r>
        <w:rPr>
          <w:sz w:val="24"/>
          <w:szCs w:val="24"/>
        </w:rPr>
        <w:t>The Commission conducted a public hearing in December 2022.</w:t>
      </w:r>
    </w:p>
    <w:p w14:paraId="05415179" w14:textId="6B3AAFEC" w:rsidR="00735F23" w:rsidRDefault="00735F23" w:rsidP="00735F23">
      <w:pPr>
        <w:pStyle w:val="ListParagraph"/>
        <w:numPr>
          <w:ilvl w:val="0"/>
          <w:numId w:val="19"/>
        </w:numPr>
        <w:rPr>
          <w:sz w:val="24"/>
          <w:szCs w:val="24"/>
        </w:rPr>
      </w:pPr>
      <w:r>
        <w:rPr>
          <w:sz w:val="24"/>
          <w:szCs w:val="24"/>
        </w:rPr>
        <w:t>In February 2023 NorthWestern and CELP filed a partial stipulation and settlement agreement on the issue of interconnection terms and conditions.</w:t>
      </w:r>
    </w:p>
    <w:p w14:paraId="3A422DB3" w14:textId="6B3D14C6" w:rsidR="00735F23" w:rsidRDefault="00735F23" w:rsidP="00735F23">
      <w:pPr>
        <w:pStyle w:val="ListParagraph"/>
        <w:numPr>
          <w:ilvl w:val="0"/>
          <w:numId w:val="19"/>
        </w:numPr>
        <w:rPr>
          <w:sz w:val="24"/>
          <w:szCs w:val="24"/>
        </w:rPr>
      </w:pPr>
      <w:r>
        <w:rPr>
          <w:sz w:val="24"/>
          <w:szCs w:val="24"/>
        </w:rPr>
        <w:t>The Commission issued Final Order 7859i in May 2023.</w:t>
      </w:r>
    </w:p>
    <w:p w14:paraId="05B65B65" w14:textId="56937AFB" w:rsidR="00735F23" w:rsidRDefault="00735F23" w:rsidP="00735F23">
      <w:pPr>
        <w:pStyle w:val="ListParagraph"/>
        <w:numPr>
          <w:ilvl w:val="0"/>
          <w:numId w:val="19"/>
        </w:numPr>
        <w:rPr>
          <w:sz w:val="24"/>
          <w:szCs w:val="24"/>
        </w:rPr>
      </w:pPr>
      <w:r>
        <w:rPr>
          <w:sz w:val="24"/>
          <w:szCs w:val="24"/>
        </w:rPr>
        <w:t>Following the Commission’s Final Order, NorthWestern and CELP filed a joint motion requesting an extension of time to file motions for reconsideration.</w:t>
      </w:r>
    </w:p>
    <w:p w14:paraId="5CDDE659" w14:textId="259879B8" w:rsidR="00735F23" w:rsidRDefault="00735F23" w:rsidP="00735F23">
      <w:pPr>
        <w:pStyle w:val="ListParagraph"/>
        <w:numPr>
          <w:ilvl w:val="0"/>
          <w:numId w:val="19"/>
        </w:numPr>
        <w:rPr>
          <w:sz w:val="24"/>
          <w:szCs w:val="24"/>
        </w:rPr>
      </w:pPr>
      <w:r>
        <w:rPr>
          <w:sz w:val="24"/>
          <w:szCs w:val="24"/>
        </w:rPr>
        <w:t xml:space="preserve">The Commission granted the motion and set a deadline </w:t>
      </w:r>
      <w:r w:rsidR="00AE6EF8">
        <w:rPr>
          <w:sz w:val="24"/>
          <w:szCs w:val="24"/>
        </w:rPr>
        <w:t xml:space="preserve">in July 2023 </w:t>
      </w:r>
      <w:r>
        <w:rPr>
          <w:sz w:val="24"/>
          <w:szCs w:val="24"/>
        </w:rPr>
        <w:t xml:space="preserve">for </w:t>
      </w:r>
      <w:r w:rsidR="00AE6EF8">
        <w:rPr>
          <w:sz w:val="24"/>
          <w:szCs w:val="24"/>
        </w:rPr>
        <w:t xml:space="preserve">motions for </w:t>
      </w:r>
      <w:r>
        <w:rPr>
          <w:sz w:val="24"/>
          <w:szCs w:val="24"/>
        </w:rPr>
        <w:t>reconsideration.</w:t>
      </w:r>
    </w:p>
    <w:p w14:paraId="7BD1ACD4" w14:textId="02579F86" w:rsidR="00033EDE" w:rsidRDefault="004D4B20" w:rsidP="00735F23">
      <w:pPr>
        <w:pStyle w:val="ListParagraph"/>
        <w:numPr>
          <w:ilvl w:val="0"/>
          <w:numId w:val="19"/>
        </w:numPr>
        <w:rPr>
          <w:sz w:val="24"/>
          <w:szCs w:val="24"/>
        </w:rPr>
      </w:pPr>
      <w:r>
        <w:rPr>
          <w:sz w:val="24"/>
          <w:szCs w:val="24"/>
        </w:rPr>
        <w:t xml:space="preserve">In </w:t>
      </w:r>
      <w:r w:rsidR="00033EDE">
        <w:rPr>
          <w:sz w:val="24"/>
          <w:szCs w:val="24"/>
        </w:rPr>
        <w:t>July NorthWestern and CELP each filed motions for reconsideration.</w:t>
      </w:r>
    </w:p>
    <w:p w14:paraId="3C6E62FE" w14:textId="067EC953" w:rsidR="0046215E" w:rsidRDefault="002346AF" w:rsidP="00735F23">
      <w:pPr>
        <w:pStyle w:val="ListParagraph"/>
        <w:numPr>
          <w:ilvl w:val="0"/>
          <w:numId w:val="19"/>
        </w:numPr>
        <w:rPr>
          <w:sz w:val="24"/>
          <w:szCs w:val="24"/>
        </w:rPr>
      </w:pPr>
      <w:r>
        <w:rPr>
          <w:sz w:val="24"/>
          <w:szCs w:val="24"/>
        </w:rPr>
        <w:t xml:space="preserve">To accommodate requests from the parties for </w:t>
      </w:r>
      <w:r w:rsidR="00AE6EF8">
        <w:rPr>
          <w:sz w:val="24"/>
          <w:szCs w:val="24"/>
        </w:rPr>
        <w:t>further</w:t>
      </w:r>
      <w:r>
        <w:rPr>
          <w:sz w:val="24"/>
          <w:szCs w:val="24"/>
        </w:rPr>
        <w:t xml:space="preserve"> briefing on issues raised in the</w:t>
      </w:r>
      <w:r w:rsidR="00AE6EF8">
        <w:rPr>
          <w:sz w:val="24"/>
          <w:szCs w:val="24"/>
        </w:rPr>
        <w:t>ir respective</w:t>
      </w:r>
      <w:r>
        <w:rPr>
          <w:sz w:val="24"/>
          <w:szCs w:val="24"/>
        </w:rPr>
        <w:t xml:space="preserve"> motions for reconsideration, </w:t>
      </w:r>
      <w:r w:rsidR="0046215E">
        <w:rPr>
          <w:sz w:val="24"/>
          <w:szCs w:val="24"/>
        </w:rPr>
        <w:t xml:space="preserve">the Commission waived its rule that </w:t>
      </w:r>
      <w:r>
        <w:rPr>
          <w:sz w:val="24"/>
          <w:szCs w:val="24"/>
        </w:rPr>
        <w:t xml:space="preserve">deems a </w:t>
      </w:r>
      <w:r w:rsidR="0046215E">
        <w:rPr>
          <w:sz w:val="24"/>
          <w:szCs w:val="24"/>
        </w:rPr>
        <w:t xml:space="preserve">motion for reconsideration </w:t>
      </w:r>
      <w:r>
        <w:rPr>
          <w:sz w:val="24"/>
          <w:szCs w:val="24"/>
        </w:rPr>
        <w:t>denied if the Commission has not acted on the motion in 20 days.</w:t>
      </w:r>
      <w:r w:rsidR="000E2DA9">
        <w:rPr>
          <w:sz w:val="24"/>
          <w:szCs w:val="24"/>
        </w:rPr>
        <w:t xml:space="preserve"> The Commission established deadlines for </w:t>
      </w:r>
      <w:r w:rsidR="00AE6EF8">
        <w:rPr>
          <w:sz w:val="24"/>
          <w:szCs w:val="24"/>
        </w:rPr>
        <w:t>further</w:t>
      </w:r>
      <w:r w:rsidR="000E2DA9">
        <w:rPr>
          <w:sz w:val="24"/>
          <w:szCs w:val="24"/>
        </w:rPr>
        <w:t xml:space="preserve"> briefing</w:t>
      </w:r>
      <w:r w:rsidR="00AE6EF8">
        <w:rPr>
          <w:sz w:val="24"/>
          <w:szCs w:val="24"/>
        </w:rPr>
        <w:t>, which</w:t>
      </w:r>
      <w:r w:rsidR="000E2DA9">
        <w:rPr>
          <w:sz w:val="24"/>
          <w:szCs w:val="24"/>
        </w:rPr>
        <w:t xml:space="preserve"> end</w:t>
      </w:r>
      <w:r w:rsidR="004D4B20">
        <w:rPr>
          <w:sz w:val="24"/>
          <w:szCs w:val="24"/>
        </w:rPr>
        <w:t>ed</w:t>
      </w:r>
      <w:r w:rsidR="000E2DA9">
        <w:rPr>
          <w:sz w:val="24"/>
          <w:szCs w:val="24"/>
        </w:rPr>
        <w:t xml:space="preserve"> </w:t>
      </w:r>
      <w:r w:rsidR="004D4B20">
        <w:rPr>
          <w:sz w:val="24"/>
          <w:szCs w:val="24"/>
        </w:rPr>
        <w:t xml:space="preserve">in </w:t>
      </w:r>
      <w:r w:rsidR="000E2DA9">
        <w:rPr>
          <w:sz w:val="24"/>
          <w:szCs w:val="24"/>
        </w:rPr>
        <w:t>August.</w:t>
      </w:r>
    </w:p>
    <w:p w14:paraId="4C46656B" w14:textId="567626FD" w:rsidR="00AF321B" w:rsidRDefault="00AF321B" w:rsidP="00735F23">
      <w:pPr>
        <w:pStyle w:val="ListParagraph"/>
        <w:numPr>
          <w:ilvl w:val="0"/>
          <w:numId w:val="19"/>
        </w:numPr>
        <w:rPr>
          <w:sz w:val="24"/>
          <w:szCs w:val="24"/>
        </w:rPr>
      </w:pPr>
      <w:r>
        <w:rPr>
          <w:sz w:val="24"/>
          <w:szCs w:val="24"/>
        </w:rPr>
        <w:t>In December 2023 the Commission issued its Order on Reconsideration 7859k</w:t>
      </w:r>
      <w:r w:rsidR="00EA6783">
        <w:rPr>
          <w:sz w:val="24"/>
          <w:szCs w:val="24"/>
        </w:rPr>
        <w:t>, which largely upheld the decisions in the Commission’s Final Order but provided clarifications regarding several contract terms.</w:t>
      </w:r>
      <w:r w:rsidR="004D4B20">
        <w:rPr>
          <w:sz w:val="24"/>
          <w:szCs w:val="24"/>
        </w:rPr>
        <w:t xml:space="preserve"> </w:t>
      </w:r>
      <w:proofErr w:type="spellStart"/>
      <w:r w:rsidR="004D4B20">
        <w:rPr>
          <w:sz w:val="24"/>
          <w:szCs w:val="24"/>
        </w:rPr>
        <w:t>NorthWestern</w:t>
      </w:r>
      <w:proofErr w:type="spellEnd"/>
      <w:r w:rsidR="004D4B20">
        <w:rPr>
          <w:sz w:val="24"/>
          <w:szCs w:val="24"/>
        </w:rPr>
        <w:t xml:space="preserve"> subsequently submitted </w:t>
      </w:r>
      <w:r w:rsidR="00327B87">
        <w:rPr>
          <w:sz w:val="24"/>
          <w:szCs w:val="24"/>
        </w:rPr>
        <w:t xml:space="preserve">a partial </w:t>
      </w:r>
      <w:r w:rsidR="004D4B20">
        <w:rPr>
          <w:sz w:val="24"/>
          <w:szCs w:val="24"/>
        </w:rPr>
        <w:t xml:space="preserve">compliance filing required by the </w:t>
      </w:r>
      <w:proofErr w:type="gramStart"/>
      <w:r w:rsidR="004D4B20">
        <w:rPr>
          <w:sz w:val="24"/>
          <w:szCs w:val="24"/>
        </w:rPr>
        <w:t xml:space="preserve">order, </w:t>
      </w:r>
      <w:r w:rsidR="00327B87">
        <w:rPr>
          <w:sz w:val="24"/>
          <w:szCs w:val="24"/>
        </w:rPr>
        <w:t>but</w:t>
      </w:r>
      <w:proofErr w:type="gramEnd"/>
      <w:r w:rsidR="00327B87">
        <w:rPr>
          <w:sz w:val="24"/>
          <w:szCs w:val="24"/>
        </w:rPr>
        <w:t xml:space="preserve"> requested more time to prepare a revised power purchase agreement</w:t>
      </w:r>
      <w:r w:rsidR="004D4B20">
        <w:rPr>
          <w:sz w:val="24"/>
          <w:szCs w:val="24"/>
        </w:rPr>
        <w:t>.</w:t>
      </w:r>
    </w:p>
    <w:p w14:paraId="5A43F054" w14:textId="3089E4A3" w:rsidR="00AE6EF8" w:rsidRPr="00735F23" w:rsidRDefault="00AE6EF8" w:rsidP="00735F23">
      <w:pPr>
        <w:pStyle w:val="ListParagraph"/>
        <w:numPr>
          <w:ilvl w:val="0"/>
          <w:numId w:val="19"/>
        </w:numPr>
        <w:rPr>
          <w:sz w:val="24"/>
          <w:szCs w:val="24"/>
        </w:rPr>
      </w:pPr>
      <w:r>
        <w:rPr>
          <w:sz w:val="24"/>
          <w:szCs w:val="24"/>
        </w:rPr>
        <w:t>The Commission subsequently received a second motion for reconsideration from CELP.</w:t>
      </w:r>
    </w:p>
    <w:p w14:paraId="6659BFFD" w14:textId="77777777" w:rsidR="002C63CB" w:rsidRDefault="002C63CB" w:rsidP="001337BF">
      <w:pPr>
        <w:pStyle w:val="ListParagraph"/>
        <w:rPr>
          <w:sz w:val="24"/>
          <w:szCs w:val="24"/>
        </w:rPr>
      </w:pPr>
    </w:p>
    <w:p w14:paraId="6A3352F9" w14:textId="6E97C312" w:rsidR="00EC2613" w:rsidRDefault="00EC2613" w:rsidP="00EC2613">
      <w:pPr>
        <w:pStyle w:val="Heading2"/>
      </w:pPr>
      <w:r>
        <w:t>Trident Solar Petition – Docket 2023.01.013</w:t>
      </w:r>
    </w:p>
    <w:p w14:paraId="58438351" w14:textId="6C3D5089" w:rsidR="00EC2613" w:rsidRDefault="000F51EF" w:rsidP="00EC2613">
      <w:pPr>
        <w:pStyle w:val="ListParagraph"/>
        <w:numPr>
          <w:ilvl w:val="0"/>
          <w:numId w:val="24"/>
        </w:numPr>
        <w:rPr>
          <w:sz w:val="24"/>
          <w:szCs w:val="24"/>
        </w:rPr>
      </w:pPr>
      <w:r>
        <w:rPr>
          <w:sz w:val="24"/>
          <w:szCs w:val="24"/>
        </w:rPr>
        <w:t xml:space="preserve">In January 2023 Trident Solar filed a petition </w:t>
      </w:r>
      <w:r w:rsidR="00327B87">
        <w:rPr>
          <w:sz w:val="24"/>
          <w:szCs w:val="24"/>
        </w:rPr>
        <w:t xml:space="preserve">asking </w:t>
      </w:r>
      <w:r>
        <w:rPr>
          <w:sz w:val="24"/>
          <w:szCs w:val="24"/>
        </w:rPr>
        <w:t>the Commission to establish rates and terms of a QF power purchase and sale agreement with NorthWestern.</w:t>
      </w:r>
    </w:p>
    <w:p w14:paraId="27DB29BE" w14:textId="274C56C4" w:rsidR="000F51EF" w:rsidRDefault="000F51EF" w:rsidP="00EC2613">
      <w:pPr>
        <w:pStyle w:val="ListParagraph"/>
        <w:numPr>
          <w:ilvl w:val="0"/>
          <w:numId w:val="24"/>
        </w:numPr>
        <w:rPr>
          <w:sz w:val="24"/>
          <w:szCs w:val="24"/>
        </w:rPr>
      </w:pPr>
      <w:r>
        <w:rPr>
          <w:sz w:val="24"/>
          <w:szCs w:val="24"/>
        </w:rPr>
        <w:t>NorthWestern and the Consumer Counsel subsequently petitioned for, and were granted, intervention.</w:t>
      </w:r>
    </w:p>
    <w:p w14:paraId="7E67CC98" w14:textId="4931EE15" w:rsidR="000F51EF" w:rsidRDefault="000F51EF" w:rsidP="00EC2613">
      <w:pPr>
        <w:pStyle w:val="ListParagraph"/>
        <w:numPr>
          <w:ilvl w:val="0"/>
          <w:numId w:val="24"/>
        </w:numPr>
        <w:rPr>
          <w:sz w:val="24"/>
          <w:szCs w:val="24"/>
        </w:rPr>
      </w:pPr>
      <w:r>
        <w:rPr>
          <w:sz w:val="24"/>
          <w:szCs w:val="24"/>
        </w:rPr>
        <w:t>In February the Commission issued a procedural order, which, among other things, scheduled a hearing for May 2023.</w:t>
      </w:r>
    </w:p>
    <w:p w14:paraId="0BC2B844" w14:textId="6035F7DD" w:rsidR="000F51EF" w:rsidRDefault="004D4B20" w:rsidP="00EC2613">
      <w:pPr>
        <w:pStyle w:val="ListParagraph"/>
        <w:numPr>
          <w:ilvl w:val="0"/>
          <w:numId w:val="24"/>
        </w:numPr>
        <w:rPr>
          <w:sz w:val="24"/>
          <w:szCs w:val="24"/>
        </w:rPr>
      </w:pPr>
      <w:r>
        <w:rPr>
          <w:sz w:val="24"/>
          <w:szCs w:val="24"/>
        </w:rPr>
        <w:t>Prior to the hearing</w:t>
      </w:r>
      <w:r w:rsidR="000F51EF">
        <w:rPr>
          <w:sz w:val="24"/>
          <w:szCs w:val="24"/>
        </w:rPr>
        <w:t xml:space="preserve"> NorthWestern and Trident jointly filed a Notice of Settlement and Unopposed Motion to Vacate Hearing.</w:t>
      </w:r>
    </w:p>
    <w:p w14:paraId="00E56E96" w14:textId="740B4F17" w:rsidR="000F51EF" w:rsidRDefault="000F51EF" w:rsidP="00EC2613">
      <w:pPr>
        <w:pStyle w:val="ListParagraph"/>
        <w:numPr>
          <w:ilvl w:val="0"/>
          <w:numId w:val="24"/>
        </w:numPr>
        <w:rPr>
          <w:sz w:val="24"/>
          <w:szCs w:val="24"/>
        </w:rPr>
      </w:pPr>
      <w:r>
        <w:rPr>
          <w:sz w:val="24"/>
          <w:szCs w:val="24"/>
        </w:rPr>
        <w:t>According to the Motion, NorthWestern and Trident reached an agreement in principle that resolved all material terms and conditions of a proposed power purchase agreement. The Motion requested that the Commission vacate the hearing and allow the parties 60 days to file the settlement and proposed power purchase agreement. The Motion represented that the Consumer Counsel did not oppose the relief requested.</w:t>
      </w:r>
    </w:p>
    <w:p w14:paraId="45954F38" w14:textId="604BCF89" w:rsidR="000F51EF" w:rsidRDefault="000F51EF" w:rsidP="00EC2613">
      <w:pPr>
        <w:pStyle w:val="ListParagraph"/>
        <w:numPr>
          <w:ilvl w:val="0"/>
          <w:numId w:val="24"/>
        </w:numPr>
        <w:rPr>
          <w:sz w:val="24"/>
          <w:szCs w:val="24"/>
        </w:rPr>
      </w:pPr>
      <w:r>
        <w:rPr>
          <w:sz w:val="24"/>
          <w:szCs w:val="24"/>
        </w:rPr>
        <w:t>The Commission granted the Motion and directed the parties to file a settlement and proposed PPA within 60 days.</w:t>
      </w:r>
    </w:p>
    <w:p w14:paraId="2D0EFBD2" w14:textId="33CE16AD" w:rsidR="0046215E" w:rsidRDefault="004D4B20" w:rsidP="00EC2613">
      <w:pPr>
        <w:pStyle w:val="ListParagraph"/>
        <w:numPr>
          <w:ilvl w:val="0"/>
          <w:numId w:val="24"/>
        </w:numPr>
        <w:rPr>
          <w:sz w:val="24"/>
          <w:szCs w:val="24"/>
        </w:rPr>
      </w:pPr>
      <w:r>
        <w:rPr>
          <w:sz w:val="24"/>
          <w:szCs w:val="24"/>
        </w:rPr>
        <w:t xml:space="preserve">In </w:t>
      </w:r>
      <w:r w:rsidR="0046215E">
        <w:rPr>
          <w:sz w:val="24"/>
          <w:szCs w:val="24"/>
        </w:rPr>
        <w:t xml:space="preserve">July 2023 NorthWestern and Trident filed an unopposed motion requesting to extend the deadline for filing the settlement materials, which the Commission </w:t>
      </w:r>
      <w:r>
        <w:rPr>
          <w:sz w:val="24"/>
          <w:szCs w:val="24"/>
        </w:rPr>
        <w:t>granted</w:t>
      </w:r>
      <w:r w:rsidR="0046215E">
        <w:rPr>
          <w:sz w:val="24"/>
          <w:szCs w:val="24"/>
        </w:rPr>
        <w:t>.</w:t>
      </w:r>
    </w:p>
    <w:p w14:paraId="4565AC57" w14:textId="0B22EBE7" w:rsidR="00EA6783" w:rsidRDefault="00EA6783" w:rsidP="00EC2613">
      <w:pPr>
        <w:pStyle w:val="ListParagraph"/>
        <w:numPr>
          <w:ilvl w:val="0"/>
          <w:numId w:val="24"/>
        </w:numPr>
        <w:rPr>
          <w:sz w:val="24"/>
          <w:szCs w:val="24"/>
        </w:rPr>
      </w:pPr>
      <w:r>
        <w:rPr>
          <w:sz w:val="24"/>
          <w:szCs w:val="24"/>
        </w:rPr>
        <w:t>In September 2023 NorthWestern and Trident filed a joint unopposed motion for approval of a settlement agreement.</w:t>
      </w:r>
    </w:p>
    <w:p w14:paraId="5F04C44A" w14:textId="3AAD1619" w:rsidR="00EA6783" w:rsidRDefault="00EA6783" w:rsidP="00EC2613">
      <w:pPr>
        <w:pStyle w:val="ListParagraph"/>
        <w:numPr>
          <w:ilvl w:val="0"/>
          <w:numId w:val="24"/>
        </w:numPr>
        <w:rPr>
          <w:sz w:val="24"/>
          <w:szCs w:val="24"/>
        </w:rPr>
      </w:pPr>
      <w:r>
        <w:rPr>
          <w:sz w:val="24"/>
          <w:szCs w:val="24"/>
        </w:rPr>
        <w:t xml:space="preserve">In October 2023 the Commission issued Final Order 7881f. The Order concludes that pursuant to the Montana Supreme Court’s decision in </w:t>
      </w:r>
      <w:r w:rsidRPr="00EA6783">
        <w:rPr>
          <w:i/>
          <w:iCs/>
          <w:sz w:val="24"/>
          <w:szCs w:val="24"/>
        </w:rPr>
        <w:t>MTSUN v Mont. Dep’t of Pub. Serv. Regulation</w:t>
      </w:r>
      <w:r>
        <w:rPr>
          <w:sz w:val="24"/>
          <w:szCs w:val="24"/>
        </w:rPr>
        <w:t xml:space="preserve"> </w:t>
      </w:r>
      <w:r w:rsidRPr="00EA6783">
        <w:rPr>
          <w:sz w:val="24"/>
          <w:szCs w:val="24"/>
        </w:rPr>
        <w:t>¶ 73, 2020 MT 238, 401 Mont. 324, 472 P.3d</w:t>
      </w:r>
      <w:r>
        <w:rPr>
          <w:sz w:val="24"/>
          <w:szCs w:val="24"/>
        </w:rPr>
        <w:t xml:space="preserve"> the Commission does not have authority to approve the terms of the settled PPA</w:t>
      </w:r>
      <w:r w:rsidR="00327B87">
        <w:rPr>
          <w:sz w:val="24"/>
          <w:szCs w:val="24"/>
        </w:rPr>
        <w:t>, including</w:t>
      </w:r>
      <w:r>
        <w:rPr>
          <w:sz w:val="24"/>
          <w:szCs w:val="24"/>
        </w:rPr>
        <w:t xml:space="preserve"> the agreed-upon rates.</w:t>
      </w:r>
    </w:p>
    <w:p w14:paraId="071486B1" w14:textId="1D8C0DA4" w:rsidR="00EA6783" w:rsidRPr="00EC2613" w:rsidRDefault="00EA6783" w:rsidP="00EC2613">
      <w:pPr>
        <w:pStyle w:val="ListParagraph"/>
        <w:numPr>
          <w:ilvl w:val="0"/>
          <w:numId w:val="24"/>
        </w:numPr>
        <w:rPr>
          <w:sz w:val="24"/>
          <w:szCs w:val="24"/>
        </w:rPr>
      </w:pPr>
      <w:r>
        <w:rPr>
          <w:sz w:val="24"/>
          <w:szCs w:val="24"/>
        </w:rPr>
        <w:t>NorthWestern and Trident filed a motion for extension of time to file motions for reconsideration, which the Commission granted</w:t>
      </w:r>
      <w:r w:rsidR="003643AC">
        <w:rPr>
          <w:sz w:val="24"/>
          <w:szCs w:val="24"/>
        </w:rPr>
        <w:t xml:space="preserve">. </w:t>
      </w:r>
      <w:r w:rsidR="00C526AD">
        <w:rPr>
          <w:sz w:val="24"/>
          <w:szCs w:val="24"/>
        </w:rPr>
        <w:t xml:space="preserve">Ultimately, however, </w:t>
      </w:r>
      <w:r w:rsidR="003643AC">
        <w:rPr>
          <w:sz w:val="24"/>
          <w:szCs w:val="24"/>
        </w:rPr>
        <w:t xml:space="preserve">no motions were </w:t>
      </w:r>
      <w:r w:rsidR="00C526AD">
        <w:rPr>
          <w:sz w:val="24"/>
          <w:szCs w:val="24"/>
        </w:rPr>
        <w:t>received</w:t>
      </w:r>
      <w:r w:rsidR="00327B87">
        <w:rPr>
          <w:sz w:val="24"/>
          <w:szCs w:val="24"/>
        </w:rPr>
        <w:t>, and the case is resolved</w:t>
      </w:r>
      <w:r w:rsidR="003643AC">
        <w:rPr>
          <w:sz w:val="24"/>
          <w:szCs w:val="24"/>
        </w:rPr>
        <w:t>.</w:t>
      </w:r>
    </w:p>
    <w:p w14:paraId="2DCC17B2" w14:textId="77777777" w:rsidR="00267BBC" w:rsidRPr="0013067E" w:rsidRDefault="00926B76" w:rsidP="00DD12F1">
      <w:pPr>
        <w:pStyle w:val="Heading1"/>
        <w:spacing w:after="240"/>
      </w:pPr>
      <w:r>
        <w:t>3</w:t>
      </w:r>
      <w:r w:rsidR="0013067E" w:rsidRPr="0013067E">
        <w:t>.</w:t>
      </w:r>
      <w:r w:rsidR="0013067E">
        <w:t xml:space="preserve"> </w:t>
      </w:r>
      <w:r w:rsidR="00267BBC" w:rsidRPr="0013067E">
        <w:t xml:space="preserve"> </w:t>
      </w:r>
      <w:r w:rsidR="0013067E">
        <w:t xml:space="preserve"> </w:t>
      </w:r>
      <w:r w:rsidR="00267BBC" w:rsidRPr="0013067E">
        <w:t>Montana-Dakota Utilities</w:t>
      </w:r>
    </w:p>
    <w:p w14:paraId="27F846F7" w14:textId="345C1FED" w:rsidR="00B15F8C" w:rsidRDefault="00B15F8C" w:rsidP="00F307E3">
      <w:pPr>
        <w:pStyle w:val="Heading2"/>
      </w:pPr>
      <w:r>
        <w:t>Authority to Offer Incentives for Conversion – Docket 2021.09.116</w:t>
      </w:r>
    </w:p>
    <w:p w14:paraId="4D419F23" w14:textId="036F7045" w:rsidR="00B15F8C" w:rsidRPr="00235BAF" w:rsidRDefault="00B15F8C" w:rsidP="00CB6A79">
      <w:pPr>
        <w:pStyle w:val="ListParagraph"/>
        <w:numPr>
          <w:ilvl w:val="0"/>
          <w:numId w:val="14"/>
        </w:numPr>
        <w:rPr>
          <w:sz w:val="24"/>
          <w:szCs w:val="24"/>
        </w:rPr>
      </w:pPr>
      <w:r w:rsidRPr="00235BAF">
        <w:rPr>
          <w:sz w:val="24"/>
          <w:szCs w:val="24"/>
        </w:rPr>
        <w:t xml:space="preserve">In September 2022, MDU filed an </w:t>
      </w:r>
      <w:r w:rsidR="001B1D4C" w:rsidRPr="00235BAF">
        <w:rPr>
          <w:sz w:val="24"/>
          <w:szCs w:val="24"/>
        </w:rPr>
        <w:t>application</w:t>
      </w:r>
      <w:r w:rsidRPr="00235BAF">
        <w:rPr>
          <w:sz w:val="24"/>
          <w:szCs w:val="24"/>
        </w:rPr>
        <w:t xml:space="preserve"> for authority to offer incentives for </w:t>
      </w:r>
      <w:r w:rsidR="00803819" w:rsidRPr="00235BAF">
        <w:rPr>
          <w:sz w:val="24"/>
          <w:szCs w:val="24"/>
        </w:rPr>
        <w:t xml:space="preserve">approximately 38 </w:t>
      </w:r>
      <w:r w:rsidRPr="00235BAF">
        <w:rPr>
          <w:sz w:val="24"/>
          <w:szCs w:val="24"/>
        </w:rPr>
        <w:t>customers in the Saco/Bowdoin area to convert from natural gas service to an alternative fuel source.</w:t>
      </w:r>
    </w:p>
    <w:p w14:paraId="51A13975" w14:textId="53F88DB8" w:rsidR="00B15F8C" w:rsidRDefault="00B15F8C" w:rsidP="00CB6A79">
      <w:pPr>
        <w:pStyle w:val="ListParagraph"/>
        <w:numPr>
          <w:ilvl w:val="0"/>
          <w:numId w:val="14"/>
        </w:numPr>
        <w:rPr>
          <w:sz w:val="24"/>
          <w:szCs w:val="24"/>
        </w:rPr>
      </w:pPr>
      <w:r w:rsidRPr="00235BAF">
        <w:rPr>
          <w:sz w:val="24"/>
          <w:szCs w:val="24"/>
        </w:rPr>
        <w:t xml:space="preserve">MDU stated that it does not expect to be able to reliably continue to deliver natural gas service </w:t>
      </w:r>
      <w:r w:rsidR="00803819" w:rsidRPr="00235BAF">
        <w:rPr>
          <w:sz w:val="24"/>
          <w:szCs w:val="24"/>
        </w:rPr>
        <w:t xml:space="preserve">to the customers because service is provided through a natural gas gathering system </w:t>
      </w:r>
      <w:r w:rsidR="00157187" w:rsidRPr="00235BAF">
        <w:rPr>
          <w:sz w:val="24"/>
          <w:szCs w:val="24"/>
        </w:rPr>
        <w:t>serving wells in the Bowdoin area that MDU sold in 2015. Due to third party ownership of the</w:t>
      </w:r>
      <w:r w:rsidR="00803819" w:rsidRPr="00235BAF">
        <w:rPr>
          <w:sz w:val="24"/>
          <w:szCs w:val="24"/>
        </w:rPr>
        <w:t xml:space="preserve"> gathering system </w:t>
      </w:r>
      <w:r w:rsidR="00157187" w:rsidRPr="00235BAF">
        <w:rPr>
          <w:sz w:val="24"/>
          <w:szCs w:val="24"/>
        </w:rPr>
        <w:t xml:space="preserve">and upstream </w:t>
      </w:r>
      <w:r w:rsidR="00803819" w:rsidRPr="00235BAF">
        <w:rPr>
          <w:sz w:val="24"/>
          <w:szCs w:val="24"/>
        </w:rPr>
        <w:t>gas fields</w:t>
      </w:r>
      <w:r w:rsidR="00157187" w:rsidRPr="00235BAF">
        <w:rPr>
          <w:sz w:val="24"/>
          <w:szCs w:val="24"/>
        </w:rPr>
        <w:t>, MDU no longer has control over when the wells may be shut in, which creates uncertainty over MDU’s ongoing ability to purchase the gas supplies needed to serve customers. In addition, declining pressures</w:t>
      </w:r>
      <w:r w:rsidR="00A44317" w:rsidRPr="00235BAF">
        <w:rPr>
          <w:sz w:val="24"/>
          <w:szCs w:val="24"/>
        </w:rPr>
        <w:t xml:space="preserve"> in the wells and gathering system create reliability risks for customers due to increased water in the gas that can freeze during severe weather.</w:t>
      </w:r>
    </w:p>
    <w:p w14:paraId="17BD8B6D" w14:textId="75A4DD07" w:rsidR="00D1038E" w:rsidRPr="00235BAF" w:rsidRDefault="00D1038E" w:rsidP="00CB6A79">
      <w:pPr>
        <w:pStyle w:val="ListParagraph"/>
        <w:numPr>
          <w:ilvl w:val="0"/>
          <w:numId w:val="14"/>
        </w:numPr>
        <w:rPr>
          <w:sz w:val="24"/>
          <w:szCs w:val="24"/>
        </w:rPr>
      </w:pPr>
      <w:r>
        <w:rPr>
          <w:sz w:val="24"/>
          <w:szCs w:val="24"/>
        </w:rPr>
        <w:t>MDU proposed to offer customers $10,000 to defray the cost of switching to bulk propane service o</w:t>
      </w:r>
      <w:r w:rsidR="008B3F17">
        <w:rPr>
          <w:sz w:val="24"/>
          <w:szCs w:val="24"/>
        </w:rPr>
        <w:t>r</w:t>
      </w:r>
      <w:r>
        <w:rPr>
          <w:sz w:val="24"/>
          <w:szCs w:val="24"/>
        </w:rPr>
        <w:t xml:space="preserve"> another alternative. Customers would have through </w:t>
      </w:r>
      <w:r w:rsidR="008B3F17">
        <w:rPr>
          <w:sz w:val="24"/>
          <w:szCs w:val="24"/>
        </w:rPr>
        <w:t>the end of October 2025 to accept the offer.</w:t>
      </w:r>
    </w:p>
    <w:p w14:paraId="0E28169B" w14:textId="672BDF64" w:rsidR="00A44317" w:rsidRPr="00235BAF" w:rsidRDefault="0059672B" w:rsidP="00CB6A79">
      <w:pPr>
        <w:pStyle w:val="ListParagraph"/>
        <w:numPr>
          <w:ilvl w:val="0"/>
          <w:numId w:val="14"/>
        </w:numPr>
        <w:rPr>
          <w:sz w:val="24"/>
          <w:szCs w:val="24"/>
        </w:rPr>
      </w:pPr>
      <w:r>
        <w:rPr>
          <w:sz w:val="24"/>
          <w:szCs w:val="24"/>
        </w:rPr>
        <w:t>The Consumer Counsel</w:t>
      </w:r>
      <w:r w:rsidR="00A44317" w:rsidRPr="00235BAF">
        <w:rPr>
          <w:sz w:val="24"/>
          <w:szCs w:val="24"/>
        </w:rPr>
        <w:t xml:space="preserve"> intervened in the docket.</w:t>
      </w:r>
    </w:p>
    <w:p w14:paraId="0161B798" w14:textId="22808512" w:rsidR="00A44317" w:rsidRDefault="00AC5040" w:rsidP="00CB6A79">
      <w:pPr>
        <w:pStyle w:val="ListParagraph"/>
        <w:numPr>
          <w:ilvl w:val="0"/>
          <w:numId w:val="14"/>
        </w:numPr>
        <w:rPr>
          <w:sz w:val="24"/>
          <w:szCs w:val="24"/>
        </w:rPr>
      </w:pPr>
      <w:r>
        <w:rPr>
          <w:sz w:val="24"/>
          <w:szCs w:val="24"/>
        </w:rPr>
        <w:t>The Commission issued a procedural order in August 2023</w:t>
      </w:r>
      <w:r w:rsidR="00A44317" w:rsidRPr="00235BAF">
        <w:rPr>
          <w:sz w:val="24"/>
          <w:szCs w:val="24"/>
        </w:rPr>
        <w:t>.</w:t>
      </w:r>
    </w:p>
    <w:p w14:paraId="714F732B" w14:textId="1D6A33B8" w:rsidR="00AC5040" w:rsidRDefault="00C66B8B" w:rsidP="00CB6A79">
      <w:pPr>
        <w:pStyle w:val="ListParagraph"/>
        <w:numPr>
          <w:ilvl w:val="0"/>
          <w:numId w:val="14"/>
        </w:numPr>
        <w:rPr>
          <w:sz w:val="24"/>
          <w:szCs w:val="24"/>
        </w:rPr>
      </w:pPr>
      <w:r>
        <w:rPr>
          <w:sz w:val="24"/>
          <w:szCs w:val="24"/>
        </w:rPr>
        <w:t>The Consumer Counsel submitted testimony in December 2023.</w:t>
      </w:r>
      <w:r w:rsidR="008B3F17">
        <w:rPr>
          <w:sz w:val="24"/>
          <w:szCs w:val="24"/>
        </w:rPr>
        <w:t xml:space="preserve"> The Consumer Counsel generally </w:t>
      </w:r>
      <w:r w:rsidR="00327B87">
        <w:rPr>
          <w:sz w:val="24"/>
          <w:szCs w:val="24"/>
        </w:rPr>
        <w:t xml:space="preserve">argues </w:t>
      </w:r>
      <w:r w:rsidR="008B3F17">
        <w:rPr>
          <w:sz w:val="24"/>
          <w:szCs w:val="24"/>
        </w:rPr>
        <w:t>that service quality has not materially declined for customers in the Saco/Bo</w:t>
      </w:r>
      <w:r w:rsidR="00C526AD">
        <w:rPr>
          <w:sz w:val="24"/>
          <w:szCs w:val="24"/>
        </w:rPr>
        <w:t>w</w:t>
      </w:r>
      <w:r w:rsidR="008B3F17">
        <w:rPr>
          <w:sz w:val="24"/>
          <w:szCs w:val="24"/>
        </w:rPr>
        <w:t>doin area and that the costs of alternative services, such as propane, electricity, or fuel oil, are much higher on an equivalent BTU basis compared to the cost of MDU’s natural gas service. The Consumer Counsel recommends rejecting MDU’s proposed October 2025 deadline to accept a fuel switching incentive and requir</w:t>
      </w:r>
      <w:r w:rsidR="00C526AD">
        <w:rPr>
          <w:sz w:val="24"/>
          <w:szCs w:val="24"/>
        </w:rPr>
        <w:t>ing</w:t>
      </w:r>
      <w:r w:rsidR="008B3F17">
        <w:rPr>
          <w:sz w:val="24"/>
          <w:szCs w:val="24"/>
        </w:rPr>
        <w:t xml:space="preserve"> MDU to submit regular reports of the gas field pressures feeding the Saco/Bo</w:t>
      </w:r>
      <w:r w:rsidR="00C526AD">
        <w:rPr>
          <w:sz w:val="24"/>
          <w:szCs w:val="24"/>
        </w:rPr>
        <w:t>w</w:t>
      </w:r>
      <w:r w:rsidR="008B3F17">
        <w:rPr>
          <w:sz w:val="24"/>
          <w:szCs w:val="24"/>
        </w:rPr>
        <w:t>doin distribution system.</w:t>
      </w:r>
    </w:p>
    <w:p w14:paraId="48812046" w14:textId="77777777" w:rsidR="000001BD" w:rsidRDefault="000001BD" w:rsidP="000001BD">
      <w:pPr>
        <w:pStyle w:val="ListParagraph"/>
        <w:spacing w:line="240" w:lineRule="auto"/>
        <w:ind w:left="0"/>
        <w:rPr>
          <w:sz w:val="24"/>
          <w:szCs w:val="24"/>
        </w:rPr>
      </w:pPr>
    </w:p>
    <w:p w14:paraId="05E80093" w14:textId="77777777" w:rsidR="00F92391" w:rsidRPr="000001BD" w:rsidRDefault="00F92391" w:rsidP="00F92391">
      <w:pPr>
        <w:pStyle w:val="Heading2"/>
      </w:pPr>
      <w:r w:rsidRPr="000001BD">
        <w:t>MDU Electric and Gas Tax Tracking Adjustment – Docket 202</w:t>
      </w:r>
      <w:r>
        <w:t>3</w:t>
      </w:r>
      <w:r w:rsidRPr="000001BD">
        <w:t>.10.0</w:t>
      </w:r>
      <w:r>
        <w:t>89</w:t>
      </w:r>
    </w:p>
    <w:p w14:paraId="306AB3B0" w14:textId="2C27DE6A" w:rsidR="00F92391" w:rsidRDefault="00F92391" w:rsidP="00F92391">
      <w:pPr>
        <w:pStyle w:val="ListParagraph"/>
        <w:numPr>
          <w:ilvl w:val="0"/>
          <w:numId w:val="6"/>
        </w:numPr>
        <w:rPr>
          <w:sz w:val="24"/>
          <w:szCs w:val="24"/>
        </w:rPr>
      </w:pPr>
      <w:r>
        <w:rPr>
          <w:sz w:val="24"/>
          <w:szCs w:val="24"/>
        </w:rPr>
        <w:t xml:space="preserve">In </w:t>
      </w:r>
      <w:r w:rsidRPr="003A45D8">
        <w:rPr>
          <w:sz w:val="24"/>
          <w:szCs w:val="24"/>
        </w:rPr>
        <w:t>November</w:t>
      </w:r>
      <w:r>
        <w:rPr>
          <w:sz w:val="24"/>
          <w:szCs w:val="24"/>
        </w:rPr>
        <w:t xml:space="preserve"> </w:t>
      </w:r>
      <w:r w:rsidRPr="003A45D8">
        <w:rPr>
          <w:sz w:val="24"/>
          <w:szCs w:val="24"/>
        </w:rPr>
        <w:t>202</w:t>
      </w:r>
      <w:r>
        <w:rPr>
          <w:sz w:val="24"/>
          <w:szCs w:val="24"/>
        </w:rPr>
        <w:t>3</w:t>
      </w:r>
      <w:r w:rsidRPr="003A45D8">
        <w:rPr>
          <w:sz w:val="24"/>
          <w:szCs w:val="24"/>
        </w:rPr>
        <w:t xml:space="preserve"> MDU filed an </w:t>
      </w:r>
      <w:r w:rsidR="00EB41B4">
        <w:rPr>
          <w:sz w:val="24"/>
          <w:szCs w:val="24"/>
        </w:rPr>
        <w:t>application</w:t>
      </w:r>
      <w:r>
        <w:rPr>
          <w:sz w:val="24"/>
          <w:szCs w:val="24"/>
        </w:rPr>
        <w:t xml:space="preserve"> to adjust its electric and natural gas rates to reflect changes in state and local taxes and fees pursuant to Mont. Code Ann. </w:t>
      </w:r>
      <w:r w:rsidR="00B80CC9">
        <w:rPr>
          <w:rFonts w:cstheme="minorHAnsi"/>
          <w:sz w:val="24"/>
          <w:szCs w:val="24"/>
        </w:rPr>
        <w:t>§</w:t>
      </w:r>
      <w:r w:rsidR="00B80CC9">
        <w:rPr>
          <w:sz w:val="24"/>
          <w:szCs w:val="24"/>
        </w:rPr>
        <w:t xml:space="preserve"> </w:t>
      </w:r>
      <w:r>
        <w:rPr>
          <w:sz w:val="24"/>
          <w:szCs w:val="24"/>
        </w:rPr>
        <w:t>69-3-</w:t>
      </w:r>
      <w:r w:rsidRPr="006E510E">
        <w:rPr>
          <w:sz w:val="24"/>
          <w:szCs w:val="24"/>
        </w:rPr>
        <w:t>3</w:t>
      </w:r>
      <w:r>
        <w:rPr>
          <w:sz w:val="24"/>
          <w:szCs w:val="24"/>
        </w:rPr>
        <w:t>08, which allows for annual automatic rate adjustments that are effective January 1 each year.</w:t>
      </w:r>
    </w:p>
    <w:p w14:paraId="087C27D4" w14:textId="77777777" w:rsidR="00F92391" w:rsidRPr="00C15C5C" w:rsidRDefault="00F92391" w:rsidP="00F92391">
      <w:pPr>
        <w:pStyle w:val="ListParagraph"/>
        <w:numPr>
          <w:ilvl w:val="0"/>
          <w:numId w:val="6"/>
        </w:numPr>
        <w:autoSpaceDE w:val="0"/>
        <w:autoSpaceDN w:val="0"/>
        <w:adjustRightInd w:val="0"/>
        <w:spacing w:after="0" w:line="240" w:lineRule="auto"/>
        <w:rPr>
          <w:rFonts w:ascii="ArialMT" w:hAnsi="ArialMT" w:cs="ArialMT"/>
          <w:sz w:val="24"/>
          <w:szCs w:val="24"/>
        </w:rPr>
      </w:pPr>
      <w:r>
        <w:rPr>
          <w:sz w:val="24"/>
          <w:szCs w:val="24"/>
        </w:rPr>
        <w:t xml:space="preserve">MDU reports that </w:t>
      </w:r>
      <w:r w:rsidRPr="00C15C5C">
        <w:rPr>
          <w:sz w:val="24"/>
          <w:szCs w:val="24"/>
        </w:rPr>
        <w:t xml:space="preserve">state and local taxes assessed to </w:t>
      </w:r>
      <w:r>
        <w:rPr>
          <w:sz w:val="24"/>
          <w:szCs w:val="24"/>
        </w:rPr>
        <w:t xml:space="preserve">MDU’s </w:t>
      </w:r>
      <w:r w:rsidRPr="00C15C5C">
        <w:rPr>
          <w:sz w:val="24"/>
          <w:szCs w:val="24"/>
        </w:rPr>
        <w:t xml:space="preserve">electric and gas utility operations </w:t>
      </w:r>
      <w:r>
        <w:rPr>
          <w:sz w:val="24"/>
          <w:szCs w:val="24"/>
        </w:rPr>
        <w:t>in 2023 decreased by 6.82 percent and 9.95</w:t>
      </w:r>
      <w:r w:rsidRPr="00C15C5C">
        <w:rPr>
          <w:sz w:val="24"/>
          <w:szCs w:val="24"/>
        </w:rPr>
        <w:t xml:space="preserve"> percent, respectively.</w:t>
      </w:r>
    </w:p>
    <w:p w14:paraId="1E10AF08" w14:textId="77777777" w:rsidR="00F92391" w:rsidRDefault="00F92391" w:rsidP="00F92391">
      <w:pPr>
        <w:pStyle w:val="ListParagraph"/>
        <w:numPr>
          <w:ilvl w:val="0"/>
          <w:numId w:val="6"/>
        </w:numPr>
        <w:autoSpaceDE w:val="0"/>
        <w:autoSpaceDN w:val="0"/>
        <w:adjustRightInd w:val="0"/>
        <w:rPr>
          <w:sz w:val="24"/>
          <w:szCs w:val="24"/>
        </w:rPr>
      </w:pPr>
      <w:r>
        <w:rPr>
          <w:sz w:val="24"/>
          <w:szCs w:val="24"/>
        </w:rPr>
        <w:t xml:space="preserve">After truing up for actual tax revenue in the prior year, MDU’s filing resulted in </w:t>
      </w:r>
      <w:r w:rsidRPr="00891F5A">
        <w:rPr>
          <w:sz w:val="24"/>
          <w:szCs w:val="24"/>
        </w:rPr>
        <w:t xml:space="preserve">an </w:t>
      </w:r>
      <w:r>
        <w:rPr>
          <w:sz w:val="24"/>
          <w:szCs w:val="24"/>
        </w:rPr>
        <w:t xml:space="preserve">overall </w:t>
      </w:r>
      <w:r w:rsidRPr="00891F5A">
        <w:rPr>
          <w:sz w:val="24"/>
          <w:szCs w:val="24"/>
        </w:rPr>
        <w:t xml:space="preserve">increase </w:t>
      </w:r>
      <w:r>
        <w:rPr>
          <w:sz w:val="24"/>
          <w:szCs w:val="24"/>
        </w:rPr>
        <w:t xml:space="preserve">of about </w:t>
      </w:r>
      <w:r w:rsidRPr="00891F5A">
        <w:rPr>
          <w:sz w:val="24"/>
          <w:szCs w:val="24"/>
        </w:rPr>
        <w:t>$</w:t>
      </w:r>
      <w:r>
        <w:rPr>
          <w:sz w:val="24"/>
          <w:szCs w:val="24"/>
        </w:rPr>
        <w:t>1.1 Million</w:t>
      </w:r>
      <w:r w:rsidRPr="00891F5A">
        <w:rPr>
          <w:sz w:val="24"/>
          <w:szCs w:val="24"/>
        </w:rPr>
        <w:t xml:space="preserve"> for electric service and a decrease of </w:t>
      </w:r>
      <w:r>
        <w:rPr>
          <w:sz w:val="24"/>
          <w:szCs w:val="24"/>
        </w:rPr>
        <w:t xml:space="preserve">about </w:t>
      </w:r>
      <w:r w:rsidRPr="00891F5A">
        <w:rPr>
          <w:sz w:val="24"/>
          <w:szCs w:val="24"/>
        </w:rPr>
        <w:t>$</w:t>
      </w:r>
      <w:r>
        <w:rPr>
          <w:sz w:val="24"/>
          <w:szCs w:val="24"/>
        </w:rPr>
        <w:t>0.7 Million</w:t>
      </w:r>
      <w:r w:rsidRPr="00891F5A">
        <w:rPr>
          <w:sz w:val="24"/>
          <w:szCs w:val="24"/>
        </w:rPr>
        <w:t xml:space="preserve"> for natural gas service.</w:t>
      </w:r>
    </w:p>
    <w:p w14:paraId="01179689" w14:textId="77777777" w:rsidR="00F92391" w:rsidRDefault="00F92391" w:rsidP="00F92391">
      <w:pPr>
        <w:pStyle w:val="ListParagraph"/>
        <w:numPr>
          <w:ilvl w:val="0"/>
          <w:numId w:val="6"/>
        </w:numPr>
        <w:autoSpaceDE w:val="0"/>
        <w:autoSpaceDN w:val="0"/>
        <w:adjustRightInd w:val="0"/>
        <w:rPr>
          <w:sz w:val="24"/>
          <w:szCs w:val="24"/>
        </w:rPr>
      </w:pPr>
      <w:r>
        <w:rPr>
          <w:sz w:val="24"/>
          <w:szCs w:val="24"/>
        </w:rPr>
        <w:t>The bill impact for a typical residential electric customer was an increase of 1.39% per month.</w:t>
      </w:r>
    </w:p>
    <w:p w14:paraId="00F6A3F8" w14:textId="77777777" w:rsidR="00F92391" w:rsidRPr="00C15C5C" w:rsidRDefault="00F92391" w:rsidP="00F92391">
      <w:pPr>
        <w:pStyle w:val="ListParagraph"/>
        <w:numPr>
          <w:ilvl w:val="0"/>
          <w:numId w:val="6"/>
        </w:numPr>
        <w:autoSpaceDE w:val="0"/>
        <w:autoSpaceDN w:val="0"/>
        <w:adjustRightInd w:val="0"/>
        <w:rPr>
          <w:sz w:val="24"/>
          <w:szCs w:val="24"/>
        </w:rPr>
      </w:pPr>
      <w:r>
        <w:rPr>
          <w:sz w:val="24"/>
          <w:szCs w:val="24"/>
        </w:rPr>
        <w:t>The bill impact for a typical residential natural gas customer was a decrease of 0.84% per month.</w:t>
      </w:r>
    </w:p>
    <w:p w14:paraId="68A7BC19" w14:textId="77777777" w:rsidR="00F92391" w:rsidRDefault="00F92391" w:rsidP="000001BD">
      <w:pPr>
        <w:pStyle w:val="ListParagraph"/>
        <w:spacing w:line="240" w:lineRule="auto"/>
        <w:ind w:left="0"/>
        <w:rPr>
          <w:sz w:val="24"/>
          <w:szCs w:val="24"/>
        </w:rPr>
      </w:pPr>
    </w:p>
    <w:p w14:paraId="3CD7E9ED" w14:textId="3F192ADA" w:rsidR="00DD1C1D" w:rsidRDefault="00EB41B4" w:rsidP="00DD1C1D">
      <w:pPr>
        <w:pStyle w:val="Heading2"/>
      </w:pPr>
      <w:r>
        <w:t xml:space="preserve">Update of Standard </w:t>
      </w:r>
      <w:r w:rsidR="00B80CC9">
        <w:t xml:space="preserve">PURPA </w:t>
      </w:r>
      <w:r>
        <w:t>Rates</w:t>
      </w:r>
      <w:r w:rsidR="00B80CC9">
        <w:t xml:space="preserve"> </w:t>
      </w:r>
      <w:r w:rsidR="00DD1C1D" w:rsidRPr="00C11660">
        <w:t>– Docket 202</w:t>
      </w:r>
      <w:r w:rsidR="00E960C4">
        <w:t>3</w:t>
      </w:r>
      <w:r w:rsidR="00DD1C1D" w:rsidRPr="00C11660">
        <w:t>.</w:t>
      </w:r>
      <w:r w:rsidR="00EC2613" w:rsidRPr="00C11660">
        <w:t>10</w:t>
      </w:r>
      <w:r w:rsidR="00DD1C1D" w:rsidRPr="00C11660">
        <w:t>.</w:t>
      </w:r>
      <w:r w:rsidR="00EC2613" w:rsidRPr="00C11660">
        <w:t>09</w:t>
      </w:r>
      <w:r w:rsidR="00E960C4">
        <w:t>0</w:t>
      </w:r>
    </w:p>
    <w:p w14:paraId="2FC89A54" w14:textId="62479B92" w:rsidR="008E2455" w:rsidRDefault="00E960C4" w:rsidP="008E2455">
      <w:pPr>
        <w:pStyle w:val="ListParagraph"/>
        <w:numPr>
          <w:ilvl w:val="0"/>
          <w:numId w:val="21"/>
        </w:numPr>
        <w:rPr>
          <w:sz w:val="24"/>
          <w:szCs w:val="24"/>
        </w:rPr>
      </w:pPr>
      <w:r>
        <w:rPr>
          <w:sz w:val="24"/>
          <w:szCs w:val="24"/>
        </w:rPr>
        <w:t xml:space="preserve">In </w:t>
      </w:r>
      <w:r w:rsidR="008E2455" w:rsidRPr="00222A84">
        <w:rPr>
          <w:sz w:val="24"/>
          <w:szCs w:val="24"/>
        </w:rPr>
        <w:t>October 202</w:t>
      </w:r>
      <w:r>
        <w:rPr>
          <w:sz w:val="24"/>
          <w:szCs w:val="24"/>
        </w:rPr>
        <w:t>3</w:t>
      </w:r>
      <w:r w:rsidR="008E2455" w:rsidRPr="00222A84">
        <w:rPr>
          <w:sz w:val="24"/>
          <w:szCs w:val="24"/>
        </w:rPr>
        <w:t xml:space="preserve"> MDU filed </w:t>
      </w:r>
      <w:r w:rsidR="008E2455">
        <w:rPr>
          <w:sz w:val="24"/>
          <w:szCs w:val="24"/>
        </w:rPr>
        <w:t xml:space="preserve">a </w:t>
      </w:r>
      <w:r w:rsidR="00886FB0">
        <w:rPr>
          <w:sz w:val="24"/>
          <w:szCs w:val="24"/>
        </w:rPr>
        <w:t>r</w:t>
      </w:r>
      <w:r w:rsidR="008E2455">
        <w:rPr>
          <w:sz w:val="24"/>
          <w:szCs w:val="24"/>
        </w:rPr>
        <w:t xml:space="preserve">equest for </w:t>
      </w:r>
      <w:r w:rsidR="00886FB0">
        <w:rPr>
          <w:sz w:val="24"/>
          <w:szCs w:val="24"/>
        </w:rPr>
        <w:t>a</w:t>
      </w:r>
      <w:r w:rsidR="008E2455">
        <w:rPr>
          <w:sz w:val="24"/>
          <w:szCs w:val="24"/>
        </w:rPr>
        <w:t xml:space="preserve">pproval to </w:t>
      </w:r>
      <w:r w:rsidR="00886FB0">
        <w:rPr>
          <w:sz w:val="24"/>
          <w:szCs w:val="24"/>
        </w:rPr>
        <w:t>u</w:t>
      </w:r>
      <w:r w:rsidR="008E2455">
        <w:rPr>
          <w:sz w:val="24"/>
          <w:szCs w:val="24"/>
        </w:rPr>
        <w:t xml:space="preserve">pdate </w:t>
      </w:r>
      <w:r w:rsidR="00886FB0">
        <w:rPr>
          <w:sz w:val="24"/>
          <w:szCs w:val="24"/>
        </w:rPr>
        <w:t xml:space="preserve">its </w:t>
      </w:r>
      <w:r w:rsidR="008E2455">
        <w:rPr>
          <w:sz w:val="24"/>
          <w:szCs w:val="24"/>
        </w:rPr>
        <w:t>Power Purchase Time Differentiated Rate 93 Tariff</w:t>
      </w:r>
      <w:r w:rsidR="00886FB0">
        <w:rPr>
          <w:sz w:val="24"/>
          <w:szCs w:val="24"/>
        </w:rPr>
        <w:t xml:space="preserve"> (Rate 93) pursuant to </w:t>
      </w:r>
      <w:r w:rsidR="008E2455">
        <w:rPr>
          <w:sz w:val="24"/>
          <w:szCs w:val="24"/>
        </w:rPr>
        <w:t>Mont. Admin R. 38.5.1905.</w:t>
      </w:r>
    </w:p>
    <w:p w14:paraId="2943F62C" w14:textId="0F0DDC6C" w:rsidR="008E2455" w:rsidRDefault="008E2455" w:rsidP="008E2455">
      <w:pPr>
        <w:pStyle w:val="ListParagraph"/>
        <w:numPr>
          <w:ilvl w:val="0"/>
          <w:numId w:val="21"/>
        </w:numPr>
        <w:rPr>
          <w:sz w:val="24"/>
          <w:szCs w:val="24"/>
        </w:rPr>
      </w:pPr>
      <w:r>
        <w:rPr>
          <w:sz w:val="24"/>
          <w:szCs w:val="24"/>
        </w:rPr>
        <w:t xml:space="preserve">Rate 93 is MDU’s </w:t>
      </w:r>
      <w:r w:rsidR="009D287A">
        <w:rPr>
          <w:sz w:val="24"/>
          <w:szCs w:val="24"/>
        </w:rPr>
        <w:t xml:space="preserve">tariff of </w:t>
      </w:r>
      <w:r>
        <w:rPr>
          <w:sz w:val="24"/>
          <w:szCs w:val="24"/>
        </w:rPr>
        <w:t>standard rate</w:t>
      </w:r>
      <w:r w:rsidR="009D287A">
        <w:rPr>
          <w:sz w:val="24"/>
          <w:szCs w:val="24"/>
        </w:rPr>
        <w:t>s</w:t>
      </w:r>
      <w:r>
        <w:rPr>
          <w:sz w:val="24"/>
          <w:szCs w:val="24"/>
        </w:rPr>
        <w:t xml:space="preserve"> for PURPA qualifying facilities.</w:t>
      </w:r>
    </w:p>
    <w:p w14:paraId="3EEBA611" w14:textId="7D62224B" w:rsidR="008E2455" w:rsidRDefault="00E960C4" w:rsidP="00E960C4">
      <w:pPr>
        <w:pStyle w:val="ListParagraph"/>
        <w:numPr>
          <w:ilvl w:val="0"/>
          <w:numId w:val="21"/>
        </w:numPr>
        <w:rPr>
          <w:sz w:val="24"/>
          <w:szCs w:val="24"/>
        </w:rPr>
      </w:pPr>
      <w:r>
        <w:rPr>
          <w:sz w:val="24"/>
          <w:szCs w:val="24"/>
        </w:rPr>
        <w:t>The Commission noticed receipt of the Application and t</w:t>
      </w:r>
      <w:r w:rsidR="008E2455">
        <w:rPr>
          <w:sz w:val="24"/>
          <w:szCs w:val="24"/>
        </w:rPr>
        <w:t xml:space="preserve">he Consumer Counsel </w:t>
      </w:r>
      <w:r>
        <w:rPr>
          <w:sz w:val="24"/>
          <w:szCs w:val="24"/>
        </w:rPr>
        <w:t xml:space="preserve">provided notice of its </w:t>
      </w:r>
      <w:r w:rsidR="008E2455">
        <w:rPr>
          <w:sz w:val="24"/>
          <w:szCs w:val="24"/>
        </w:rPr>
        <w:t>intervention</w:t>
      </w:r>
      <w:r>
        <w:rPr>
          <w:sz w:val="24"/>
          <w:szCs w:val="24"/>
        </w:rPr>
        <w:t xml:space="preserve"> in November 2023.</w:t>
      </w:r>
    </w:p>
    <w:p w14:paraId="331495CA" w14:textId="2865E1B2" w:rsidR="008E2455" w:rsidRPr="00E960C4" w:rsidRDefault="00E960C4" w:rsidP="00E960C4">
      <w:pPr>
        <w:pStyle w:val="ListParagraph"/>
        <w:numPr>
          <w:ilvl w:val="0"/>
          <w:numId w:val="21"/>
        </w:numPr>
        <w:rPr>
          <w:sz w:val="24"/>
          <w:szCs w:val="24"/>
        </w:rPr>
      </w:pPr>
      <w:r>
        <w:rPr>
          <w:sz w:val="24"/>
          <w:szCs w:val="24"/>
        </w:rPr>
        <w:t xml:space="preserve">The Commission issued a procedural </w:t>
      </w:r>
      <w:proofErr w:type="gramStart"/>
      <w:r>
        <w:rPr>
          <w:sz w:val="24"/>
          <w:szCs w:val="24"/>
        </w:rPr>
        <w:t>order</w:t>
      </w:r>
      <w:proofErr w:type="gramEnd"/>
      <w:r>
        <w:rPr>
          <w:sz w:val="24"/>
          <w:szCs w:val="24"/>
        </w:rPr>
        <w:t xml:space="preserve"> and the docket is currently in the discovery phase.</w:t>
      </w:r>
    </w:p>
    <w:p w14:paraId="071A10A7" w14:textId="77777777" w:rsidR="00EC2613" w:rsidRPr="00EC2613" w:rsidRDefault="00EC2613" w:rsidP="008E2455"/>
    <w:p w14:paraId="0D327C95" w14:textId="7AE6C9F4" w:rsidR="002349E3" w:rsidRDefault="002349E3" w:rsidP="002E12B4">
      <w:pPr>
        <w:pStyle w:val="Heading1"/>
      </w:pPr>
      <w:bookmarkStart w:id="0" w:name="_Hlk140827361"/>
      <w:r>
        <w:t>5.   Telecommunications Regulation Modernization</w:t>
      </w:r>
    </w:p>
    <w:p w14:paraId="02DE825E" w14:textId="4A3AB772" w:rsidR="002349E3" w:rsidRDefault="002349E3" w:rsidP="002349E3">
      <w:pPr>
        <w:pStyle w:val="Heading2"/>
      </w:pPr>
      <w:r>
        <w:t>Modernizing Telecommunications Regulation – Docket 2021.10.125</w:t>
      </w:r>
    </w:p>
    <w:p w14:paraId="3E8766F5" w14:textId="2A538F8E" w:rsidR="002349E3" w:rsidRPr="00CE25D1" w:rsidRDefault="002349E3" w:rsidP="00CB6A79">
      <w:pPr>
        <w:pStyle w:val="ListParagraph"/>
        <w:numPr>
          <w:ilvl w:val="0"/>
          <w:numId w:val="9"/>
        </w:numPr>
        <w:rPr>
          <w:sz w:val="24"/>
          <w:szCs w:val="24"/>
        </w:rPr>
      </w:pPr>
      <w:r w:rsidRPr="00CE25D1">
        <w:rPr>
          <w:sz w:val="24"/>
          <w:szCs w:val="24"/>
        </w:rPr>
        <w:t>The Montana Telecommunications Act was enacted in 1985.</w:t>
      </w:r>
    </w:p>
    <w:p w14:paraId="463BB35E" w14:textId="75216C40" w:rsidR="002349E3" w:rsidRPr="00CE25D1" w:rsidRDefault="002349E3" w:rsidP="00CB6A79">
      <w:pPr>
        <w:pStyle w:val="ListParagraph"/>
        <w:numPr>
          <w:ilvl w:val="0"/>
          <w:numId w:val="9"/>
        </w:numPr>
        <w:rPr>
          <w:sz w:val="24"/>
          <w:szCs w:val="24"/>
        </w:rPr>
      </w:pPr>
      <w:r w:rsidRPr="00CE25D1">
        <w:rPr>
          <w:sz w:val="24"/>
          <w:szCs w:val="24"/>
        </w:rPr>
        <w:t xml:space="preserve">The Act establishes a policy of universal availability of basic telecommunications service at affordable rates and provides for an “orderly transition from a regulated telecommunications industry to a competitive market environment.” Mont. Code Ann. </w:t>
      </w:r>
      <w:r w:rsidRPr="00CE25D1">
        <w:rPr>
          <w:rFonts w:cstheme="minorHAnsi"/>
          <w:sz w:val="24"/>
          <w:szCs w:val="24"/>
        </w:rPr>
        <w:t>§ 69-3-802.</w:t>
      </w:r>
    </w:p>
    <w:p w14:paraId="516F3D5D" w14:textId="2B1B35DC" w:rsidR="002349E3" w:rsidRPr="00CE25D1" w:rsidRDefault="00F5672E" w:rsidP="00CB6A79">
      <w:pPr>
        <w:pStyle w:val="ListParagraph"/>
        <w:numPr>
          <w:ilvl w:val="0"/>
          <w:numId w:val="9"/>
        </w:numPr>
        <w:rPr>
          <w:sz w:val="24"/>
          <w:szCs w:val="24"/>
        </w:rPr>
      </w:pPr>
      <w:r w:rsidRPr="00CE25D1">
        <w:rPr>
          <w:sz w:val="24"/>
          <w:szCs w:val="24"/>
        </w:rPr>
        <w:t>The Commission has adopted rules that implement the Act. Mont. Admin. R</w:t>
      </w:r>
      <w:r w:rsidR="00327B87">
        <w:rPr>
          <w:sz w:val="24"/>
          <w:szCs w:val="24"/>
        </w:rPr>
        <w:t>s</w:t>
      </w:r>
      <w:r w:rsidRPr="00CE25D1">
        <w:rPr>
          <w:sz w:val="24"/>
          <w:szCs w:val="24"/>
        </w:rPr>
        <w:t xml:space="preserve">. 38.5.2701 through </w:t>
      </w:r>
      <w:r w:rsidR="00ED56D4">
        <w:rPr>
          <w:sz w:val="24"/>
          <w:szCs w:val="24"/>
        </w:rPr>
        <w:t>38.5</w:t>
      </w:r>
      <w:r w:rsidRPr="00CE25D1">
        <w:rPr>
          <w:sz w:val="24"/>
          <w:szCs w:val="24"/>
        </w:rPr>
        <w:t>.4200.</w:t>
      </w:r>
    </w:p>
    <w:p w14:paraId="6D377AEA" w14:textId="32DBA159" w:rsidR="00F5672E" w:rsidRPr="00CE25D1" w:rsidRDefault="00F5672E" w:rsidP="00CB6A79">
      <w:pPr>
        <w:pStyle w:val="ListParagraph"/>
        <w:numPr>
          <w:ilvl w:val="0"/>
          <w:numId w:val="9"/>
        </w:numPr>
        <w:rPr>
          <w:sz w:val="24"/>
          <w:szCs w:val="24"/>
        </w:rPr>
      </w:pPr>
      <w:r w:rsidRPr="00CE25D1">
        <w:rPr>
          <w:sz w:val="24"/>
          <w:szCs w:val="24"/>
        </w:rPr>
        <w:t xml:space="preserve">As telecommunications markets have evolved over time, the Commission’s regulation has responded. For example, in 2000 the Commission waived requirements for certain competitive local phone service providers to file tariffs or price lists, and in 2014 the Commission </w:t>
      </w:r>
      <w:r w:rsidR="00EB655C" w:rsidRPr="00CE25D1">
        <w:rPr>
          <w:sz w:val="24"/>
          <w:szCs w:val="24"/>
        </w:rPr>
        <w:t>remove</w:t>
      </w:r>
      <w:r w:rsidR="00ED56D4">
        <w:rPr>
          <w:sz w:val="24"/>
          <w:szCs w:val="24"/>
        </w:rPr>
        <w:t>d</w:t>
      </w:r>
      <w:r w:rsidR="00EB655C" w:rsidRPr="00CE25D1">
        <w:rPr>
          <w:sz w:val="24"/>
          <w:szCs w:val="24"/>
        </w:rPr>
        <w:t xml:space="preserve"> tariff requirements for the two former monopoly local phone companies (Citizens Telecommunications d/b/a Frontier Communications and CenturyLink).</w:t>
      </w:r>
    </w:p>
    <w:p w14:paraId="562B68C6" w14:textId="10EC50B6" w:rsidR="00EB655C" w:rsidRPr="00CE25D1" w:rsidRDefault="00EB655C" w:rsidP="00CB6A79">
      <w:pPr>
        <w:pStyle w:val="ListParagraph"/>
        <w:numPr>
          <w:ilvl w:val="0"/>
          <w:numId w:val="9"/>
        </w:numPr>
        <w:rPr>
          <w:sz w:val="24"/>
          <w:szCs w:val="24"/>
        </w:rPr>
      </w:pPr>
      <w:r w:rsidRPr="00CE25D1">
        <w:rPr>
          <w:sz w:val="24"/>
          <w:szCs w:val="24"/>
        </w:rPr>
        <w:t xml:space="preserve">The </w:t>
      </w:r>
      <w:r w:rsidR="00F81852">
        <w:rPr>
          <w:sz w:val="24"/>
          <w:szCs w:val="24"/>
        </w:rPr>
        <w:t xml:space="preserve">Commission initiated </w:t>
      </w:r>
      <w:r w:rsidRPr="00CE25D1">
        <w:rPr>
          <w:sz w:val="24"/>
          <w:szCs w:val="24"/>
        </w:rPr>
        <w:t>this Docket to assess whether current technolog</w:t>
      </w:r>
      <w:r w:rsidR="00ED56D4">
        <w:rPr>
          <w:sz w:val="24"/>
          <w:szCs w:val="24"/>
        </w:rPr>
        <w:t>y</w:t>
      </w:r>
      <w:r w:rsidRPr="00CE25D1">
        <w:rPr>
          <w:sz w:val="24"/>
          <w:szCs w:val="24"/>
        </w:rPr>
        <w:t xml:space="preserve"> and </w:t>
      </w:r>
      <w:r w:rsidR="00ED56D4">
        <w:rPr>
          <w:sz w:val="24"/>
          <w:szCs w:val="24"/>
        </w:rPr>
        <w:t xml:space="preserve">the state of </w:t>
      </w:r>
      <w:r w:rsidRPr="00CE25D1">
        <w:rPr>
          <w:sz w:val="24"/>
          <w:szCs w:val="24"/>
        </w:rPr>
        <w:t>markets for telecommunications services</w:t>
      </w:r>
      <w:r w:rsidR="00F81852">
        <w:rPr>
          <w:sz w:val="24"/>
          <w:szCs w:val="24"/>
        </w:rPr>
        <w:t xml:space="preserve"> warrant </w:t>
      </w:r>
      <w:r w:rsidRPr="00CE25D1">
        <w:rPr>
          <w:sz w:val="24"/>
          <w:szCs w:val="24"/>
        </w:rPr>
        <w:t xml:space="preserve">further changes in Commission </w:t>
      </w:r>
      <w:r w:rsidR="00ED56D4">
        <w:rPr>
          <w:sz w:val="24"/>
          <w:szCs w:val="24"/>
        </w:rPr>
        <w:t>regulation</w:t>
      </w:r>
      <w:r w:rsidRPr="00CE25D1">
        <w:rPr>
          <w:sz w:val="24"/>
          <w:szCs w:val="24"/>
        </w:rPr>
        <w:t xml:space="preserve"> and/or governing statutes</w:t>
      </w:r>
      <w:r w:rsidR="00316478">
        <w:rPr>
          <w:sz w:val="24"/>
          <w:szCs w:val="24"/>
        </w:rPr>
        <w:t>.</w:t>
      </w:r>
    </w:p>
    <w:p w14:paraId="76520ADB" w14:textId="2719550B" w:rsidR="00FB6618" w:rsidRDefault="00F81852" w:rsidP="00CB6A79">
      <w:pPr>
        <w:pStyle w:val="ListParagraph"/>
        <w:numPr>
          <w:ilvl w:val="0"/>
          <w:numId w:val="9"/>
        </w:numPr>
        <w:rPr>
          <w:sz w:val="24"/>
          <w:szCs w:val="24"/>
        </w:rPr>
      </w:pPr>
      <w:r>
        <w:rPr>
          <w:sz w:val="24"/>
          <w:szCs w:val="24"/>
        </w:rPr>
        <w:t>T</w:t>
      </w:r>
      <w:r w:rsidR="00EB655C" w:rsidRPr="00CE25D1">
        <w:rPr>
          <w:sz w:val="24"/>
          <w:szCs w:val="24"/>
        </w:rPr>
        <w:t>he Commission requested public comment</w:t>
      </w:r>
      <w:r w:rsidR="00DD1C1D">
        <w:rPr>
          <w:sz w:val="24"/>
          <w:szCs w:val="24"/>
        </w:rPr>
        <w:t xml:space="preserve"> </w:t>
      </w:r>
      <w:r w:rsidR="00EB655C" w:rsidRPr="00CE25D1">
        <w:rPr>
          <w:sz w:val="24"/>
          <w:szCs w:val="24"/>
        </w:rPr>
        <w:t xml:space="preserve">on two primary issues: the appropriate level of Commission regulation given current and expected market structures and </w:t>
      </w:r>
      <w:r>
        <w:rPr>
          <w:sz w:val="24"/>
          <w:szCs w:val="24"/>
        </w:rPr>
        <w:t xml:space="preserve">communications </w:t>
      </w:r>
      <w:r w:rsidR="00EB655C" w:rsidRPr="00CE25D1">
        <w:rPr>
          <w:sz w:val="24"/>
          <w:szCs w:val="24"/>
        </w:rPr>
        <w:t xml:space="preserve">technologies and </w:t>
      </w:r>
      <w:r>
        <w:rPr>
          <w:sz w:val="24"/>
          <w:szCs w:val="24"/>
        </w:rPr>
        <w:t xml:space="preserve">potential </w:t>
      </w:r>
      <w:r w:rsidR="00EB655C" w:rsidRPr="00CE25D1">
        <w:rPr>
          <w:sz w:val="24"/>
          <w:szCs w:val="24"/>
        </w:rPr>
        <w:t>modifications to Commission regulat</w:t>
      </w:r>
      <w:r w:rsidR="00CE25D1" w:rsidRPr="00CE25D1">
        <w:rPr>
          <w:sz w:val="24"/>
          <w:szCs w:val="24"/>
        </w:rPr>
        <w:t>ions.</w:t>
      </w:r>
    </w:p>
    <w:p w14:paraId="075B20EA" w14:textId="5BFCFAB6" w:rsidR="003910BC" w:rsidRDefault="00F81852" w:rsidP="00CB6A79">
      <w:pPr>
        <w:pStyle w:val="ListParagraph"/>
        <w:numPr>
          <w:ilvl w:val="0"/>
          <w:numId w:val="9"/>
        </w:numPr>
        <w:rPr>
          <w:sz w:val="24"/>
          <w:szCs w:val="24"/>
        </w:rPr>
      </w:pPr>
      <w:r>
        <w:rPr>
          <w:sz w:val="24"/>
          <w:szCs w:val="24"/>
        </w:rPr>
        <w:t>In January 2022 t</w:t>
      </w:r>
      <w:r w:rsidR="003910BC">
        <w:rPr>
          <w:sz w:val="24"/>
          <w:szCs w:val="24"/>
        </w:rPr>
        <w:t xml:space="preserve">he Commission received comments from several stakeholders including the Montana Telecommunications Association, Bresnan, </w:t>
      </w:r>
      <w:r>
        <w:rPr>
          <w:sz w:val="24"/>
          <w:szCs w:val="24"/>
        </w:rPr>
        <w:t xml:space="preserve">and </w:t>
      </w:r>
      <w:r w:rsidR="003910BC">
        <w:rPr>
          <w:sz w:val="24"/>
          <w:szCs w:val="24"/>
        </w:rPr>
        <w:t>CenturyLink.</w:t>
      </w:r>
    </w:p>
    <w:p w14:paraId="375927F5" w14:textId="377C8094" w:rsidR="00FD5C95" w:rsidRDefault="00F81852" w:rsidP="00CB6A79">
      <w:pPr>
        <w:pStyle w:val="ListParagraph"/>
        <w:numPr>
          <w:ilvl w:val="0"/>
          <w:numId w:val="9"/>
        </w:numPr>
        <w:rPr>
          <w:sz w:val="24"/>
          <w:szCs w:val="24"/>
        </w:rPr>
      </w:pPr>
      <w:r>
        <w:rPr>
          <w:sz w:val="24"/>
          <w:szCs w:val="24"/>
        </w:rPr>
        <w:t xml:space="preserve">This </w:t>
      </w:r>
      <w:r w:rsidR="00400ECB">
        <w:rPr>
          <w:sz w:val="24"/>
          <w:szCs w:val="24"/>
        </w:rPr>
        <w:t>process</w:t>
      </w:r>
      <w:r>
        <w:rPr>
          <w:sz w:val="24"/>
          <w:szCs w:val="24"/>
        </w:rPr>
        <w:t xml:space="preserve"> resulted in a </w:t>
      </w:r>
      <w:r w:rsidR="00400ECB">
        <w:rPr>
          <w:sz w:val="24"/>
          <w:szCs w:val="24"/>
        </w:rPr>
        <w:t xml:space="preserve">Commission request, and </w:t>
      </w:r>
      <w:r>
        <w:rPr>
          <w:sz w:val="24"/>
          <w:szCs w:val="24"/>
        </w:rPr>
        <w:t xml:space="preserve">subsequent </w:t>
      </w:r>
      <w:r w:rsidR="00400ECB">
        <w:rPr>
          <w:sz w:val="24"/>
          <w:szCs w:val="24"/>
        </w:rPr>
        <w:t>ETIC approv</w:t>
      </w:r>
      <w:r>
        <w:rPr>
          <w:sz w:val="24"/>
          <w:szCs w:val="24"/>
        </w:rPr>
        <w:t>al</w:t>
      </w:r>
      <w:r w:rsidR="00400ECB">
        <w:rPr>
          <w:sz w:val="24"/>
          <w:szCs w:val="24"/>
        </w:rPr>
        <w:t xml:space="preserve">, </w:t>
      </w:r>
      <w:r>
        <w:rPr>
          <w:sz w:val="24"/>
          <w:szCs w:val="24"/>
        </w:rPr>
        <w:t xml:space="preserve">for </w:t>
      </w:r>
      <w:r w:rsidR="00400ECB">
        <w:rPr>
          <w:sz w:val="24"/>
          <w:szCs w:val="24"/>
        </w:rPr>
        <w:t>pre-introduction of what became HB 492</w:t>
      </w:r>
      <w:r>
        <w:rPr>
          <w:sz w:val="24"/>
          <w:szCs w:val="24"/>
        </w:rPr>
        <w:t xml:space="preserve"> during the 2023 Legislative Session. HB 492 was intended as </w:t>
      </w:r>
      <w:r w:rsidR="00400ECB">
        <w:rPr>
          <w:sz w:val="24"/>
          <w:szCs w:val="24"/>
        </w:rPr>
        <w:t>a statutory cleanup bill to repeal several obsolete provisions in Title 69, Chapter 3, related to the regulation of telecommunications services.</w:t>
      </w:r>
    </w:p>
    <w:p w14:paraId="6CEDEDC0" w14:textId="782F9325" w:rsidR="00400ECB" w:rsidRDefault="00400ECB" w:rsidP="00CB6A79">
      <w:pPr>
        <w:pStyle w:val="ListParagraph"/>
        <w:numPr>
          <w:ilvl w:val="0"/>
          <w:numId w:val="9"/>
        </w:numPr>
        <w:rPr>
          <w:sz w:val="24"/>
          <w:szCs w:val="24"/>
        </w:rPr>
      </w:pPr>
      <w:r>
        <w:rPr>
          <w:sz w:val="24"/>
          <w:szCs w:val="24"/>
        </w:rPr>
        <w:t>After passing out of the House by a vote of 93-5, HB 492 was tabled in the Senate Business, Labor, and Economic Affairs Committee. The Committee was concerned that the bill would remove regulatory protections for the approximately 10% of customers that continue to receive only traditional landline telecommunications services.</w:t>
      </w:r>
    </w:p>
    <w:p w14:paraId="5B0C599F" w14:textId="2AC5377D" w:rsidR="00400ECB" w:rsidRDefault="00400ECB" w:rsidP="00CB6A79">
      <w:pPr>
        <w:pStyle w:val="ListParagraph"/>
        <w:numPr>
          <w:ilvl w:val="0"/>
          <w:numId w:val="9"/>
        </w:numPr>
        <w:rPr>
          <w:sz w:val="24"/>
          <w:szCs w:val="24"/>
        </w:rPr>
      </w:pPr>
      <w:r>
        <w:rPr>
          <w:sz w:val="24"/>
          <w:szCs w:val="24"/>
        </w:rPr>
        <w:t>The Commission continues to believe that increase</w:t>
      </w:r>
      <w:r w:rsidR="00F81852">
        <w:rPr>
          <w:sz w:val="24"/>
          <w:szCs w:val="24"/>
        </w:rPr>
        <w:t>d</w:t>
      </w:r>
      <w:r>
        <w:rPr>
          <w:sz w:val="24"/>
          <w:szCs w:val="24"/>
        </w:rPr>
        <w:t xml:space="preserve"> competiti</w:t>
      </w:r>
      <w:r w:rsidR="00F81852">
        <w:rPr>
          <w:sz w:val="24"/>
          <w:szCs w:val="24"/>
        </w:rPr>
        <w:t xml:space="preserve">on in </w:t>
      </w:r>
      <w:r>
        <w:rPr>
          <w:sz w:val="24"/>
          <w:szCs w:val="24"/>
        </w:rPr>
        <w:t>telecommunications markets since the Montana Telecommunications Act was enacted warrant statutory changes.</w:t>
      </w:r>
    </w:p>
    <w:p w14:paraId="0723122A" w14:textId="06E6F13F" w:rsidR="000C38E9" w:rsidRPr="005A3D7E" w:rsidRDefault="000C38E9" w:rsidP="00CB6A79">
      <w:pPr>
        <w:pStyle w:val="ListParagraph"/>
        <w:numPr>
          <w:ilvl w:val="0"/>
          <w:numId w:val="9"/>
        </w:numPr>
        <w:rPr>
          <w:sz w:val="24"/>
          <w:szCs w:val="24"/>
        </w:rPr>
      </w:pPr>
      <w:r>
        <w:rPr>
          <w:sz w:val="24"/>
          <w:szCs w:val="24"/>
        </w:rPr>
        <w:t xml:space="preserve">The Commission will continue discussions with stakeholders, consider the Legislature’s concerns with HB 492, and consider whether to suggest alternative statutory changes </w:t>
      </w:r>
      <w:r w:rsidR="000B229A">
        <w:rPr>
          <w:sz w:val="24"/>
          <w:szCs w:val="24"/>
        </w:rPr>
        <w:t xml:space="preserve">in future </w:t>
      </w:r>
      <w:r w:rsidR="00CA591D">
        <w:rPr>
          <w:sz w:val="24"/>
          <w:szCs w:val="24"/>
        </w:rPr>
        <w:t>legislative session</w:t>
      </w:r>
      <w:r w:rsidR="000B229A">
        <w:rPr>
          <w:sz w:val="24"/>
          <w:szCs w:val="24"/>
        </w:rPr>
        <w:t>s</w:t>
      </w:r>
      <w:r w:rsidR="00CA591D">
        <w:rPr>
          <w:sz w:val="24"/>
          <w:szCs w:val="24"/>
        </w:rPr>
        <w:t>.</w:t>
      </w:r>
    </w:p>
    <w:bookmarkEnd w:id="0"/>
    <w:p w14:paraId="00AF3B65" w14:textId="7A6C2D57" w:rsidR="00DE23FD" w:rsidRDefault="005A3D7E" w:rsidP="002E12B4">
      <w:pPr>
        <w:pStyle w:val="Heading1"/>
      </w:pPr>
      <w:r>
        <w:t>6</w:t>
      </w:r>
      <w:r w:rsidR="00FB6618">
        <w:t xml:space="preserve">.   </w:t>
      </w:r>
      <w:r w:rsidR="00E55E9F" w:rsidRPr="00B9133A">
        <w:t>Other dockets and non-dockets</w:t>
      </w:r>
    </w:p>
    <w:p w14:paraId="2C1D4635" w14:textId="77777777" w:rsidR="00DD12F1" w:rsidRPr="00D74F9D" w:rsidRDefault="00DD12F1" w:rsidP="00DD12F1">
      <w:pPr>
        <w:pStyle w:val="ListParagraph"/>
        <w:rPr>
          <w:b/>
          <w:sz w:val="24"/>
          <w:szCs w:val="24"/>
        </w:rPr>
      </w:pPr>
    </w:p>
    <w:p w14:paraId="702C5765" w14:textId="4E73EFA3" w:rsidR="00B17823" w:rsidRDefault="00B17823" w:rsidP="00B17823">
      <w:pPr>
        <w:pStyle w:val="Heading2"/>
      </w:pPr>
      <w:r>
        <w:t>Investigation into the Adequacy of Infrastructure of CenturyLink</w:t>
      </w:r>
      <w:r w:rsidR="00940010">
        <w:t xml:space="preserve"> – Docket 2021.12.136</w:t>
      </w:r>
    </w:p>
    <w:p w14:paraId="0EC01B36" w14:textId="245B560A" w:rsidR="00B17823" w:rsidRDefault="00003550" w:rsidP="00CB6A79">
      <w:pPr>
        <w:pStyle w:val="ListParagraph"/>
        <w:numPr>
          <w:ilvl w:val="0"/>
          <w:numId w:val="7"/>
        </w:numPr>
        <w:rPr>
          <w:sz w:val="24"/>
          <w:szCs w:val="24"/>
        </w:rPr>
      </w:pPr>
      <w:r>
        <w:rPr>
          <w:sz w:val="24"/>
          <w:szCs w:val="24"/>
        </w:rPr>
        <w:t>In December 202</w:t>
      </w:r>
      <w:r w:rsidR="003F6FC9">
        <w:rPr>
          <w:sz w:val="24"/>
          <w:szCs w:val="24"/>
        </w:rPr>
        <w:t>1</w:t>
      </w:r>
      <w:r w:rsidR="00B17823" w:rsidRPr="00B17823">
        <w:rPr>
          <w:sz w:val="24"/>
          <w:szCs w:val="24"/>
        </w:rPr>
        <w:t>, the Commission initiated an investigation into the adequacy of legacy infrastructure operated by Qwest Corporation d/b/a CenturyLink QC.</w:t>
      </w:r>
    </w:p>
    <w:p w14:paraId="706D8681" w14:textId="25D9082A" w:rsidR="00B17823" w:rsidRDefault="00B17823" w:rsidP="00CB6A79">
      <w:pPr>
        <w:pStyle w:val="ListParagraph"/>
        <w:numPr>
          <w:ilvl w:val="0"/>
          <w:numId w:val="7"/>
        </w:numPr>
        <w:rPr>
          <w:sz w:val="24"/>
          <w:szCs w:val="24"/>
        </w:rPr>
      </w:pPr>
      <w:r>
        <w:rPr>
          <w:sz w:val="24"/>
          <w:szCs w:val="24"/>
        </w:rPr>
        <w:t>The investigation is based on the Commission’s receipt of formal and informal complaints alleging that the infrastructure used to provide service in rural areas of Montana is inadequate, resulting in long service outages, inability to access 911 services, and falsely initiated calls to 911 services.</w:t>
      </w:r>
    </w:p>
    <w:p w14:paraId="03B8EF03" w14:textId="015CA280" w:rsidR="00C20681" w:rsidRDefault="00AB0455" w:rsidP="00CB6A79">
      <w:pPr>
        <w:pStyle w:val="ListParagraph"/>
        <w:numPr>
          <w:ilvl w:val="0"/>
          <w:numId w:val="7"/>
        </w:numPr>
        <w:rPr>
          <w:sz w:val="24"/>
          <w:szCs w:val="24"/>
        </w:rPr>
      </w:pPr>
      <w:r>
        <w:rPr>
          <w:sz w:val="24"/>
          <w:szCs w:val="24"/>
        </w:rPr>
        <w:t>The Commission consolidated this docket with docket 2021.10.1</w:t>
      </w:r>
      <w:r w:rsidR="00566842">
        <w:rPr>
          <w:sz w:val="24"/>
          <w:szCs w:val="24"/>
        </w:rPr>
        <w:t>37</w:t>
      </w:r>
      <w:r w:rsidR="00C20681">
        <w:rPr>
          <w:sz w:val="24"/>
          <w:szCs w:val="24"/>
        </w:rPr>
        <w:t xml:space="preserve">, which </w:t>
      </w:r>
      <w:r w:rsidR="00566842">
        <w:rPr>
          <w:sz w:val="24"/>
          <w:szCs w:val="24"/>
        </w:rPr>
        <w:t>involves a request by CenturyLink for a temporary waiver of Commission rule</w:t>
      </w:r>
      <w:r w:rsidR="003F6FC9">
        <w:rPr>
          <w:sz w:val="24"/>
          <w:szCs w:val="24"/>
        </w:rPr>
        <w:t>s</w:t>
      </w:r>
      <w:r w:rsidR="00566842">
        <w:rPr>
          <w:sz w:val="24"/>
          <w:szCs w:val="24"/>
        </w:rPr>
        <w:t xml:space="preserve"> </w:t>
      </w:r>
      <w:r w:rsidR="00FC2430">
        <w:rPr>
          <w:sz w:val="24"/>
          <w:szCs w:val="24"/>
        </w:rPr>
        <w:t xml:space="preserve">that </w:t>
      </w:r>
      <w:r w:rsidR="003F6FC9">
        <w:rPr>
          <w:sz w:val="24"/>
          <w:szCs w:val="24"/>
        </w:rPr>
        <w:t xml:space="preserve">set time </w:t>
      </w:r>
      <w:r w:rsidR="00566842">
        <w:rPr>
          <w:sz w:val="24"/>
          <w:szCs w:val="24"/>
        </w:rPr>
        <w:t>requirements for restoring</w:t>
      </w:r>
      <w:r w:rsidR="00DB4312">
        <w:rPr>
          <w:sz w:val="24"/>
          <w:szCs w:val="24"/>
        </w:rPr>
        <w:t xml:space="preserve"> service once a customer reports </w:t>
      </w:r>
      <w:r w:rsidR="00FC2430">
        <w:rPr>
          <w:sz w:val="24"/>
          <w:szCs w:val="24"/>
        </w:rPr>
        <w:t>being out of service</w:t>
      </w:r>
      <w:r w:rsidR="00C20681">
        <w:rPr>
          <w:sz w:val="24"/>
          <w:szCs w:val="24"/>
        </w:rPr>
        <w:t>.</w:t>
      </w:r>
    </w:p>
    <w:p w14:paraId="02A6B5E9" w14:textId="45857D4B" w:rsidR="003F6FC9" w:rsidRDefault="00AB0455" w:rsidP="00CB6A79">
      <w:pPr>
        <w:pStyle w:val="ListParagraph"/>
        <w:numPr>
          <w:ilvl w:val="0"/>
          <w:numId w:val="7"/>
        </w:numPr>
        <w:rPr>
          <w:sz w:val="24"/>
          <w:szCs w:val="24"/>
        </w:rPr>
      </w:pPr>
      <w:r>
        <w:rPr>
          <w:sz w:val="24"/>
          <w:szCs w:val="24"/>
        </w:rPr>
        <w:t xml:space="preserve">The </w:t>
      </w:r>
      <w:r w:rsidR="0059672B">
        <w:rPr>
          <w:sz w:val="24"/>
          <w:szCs w:val="24"/>
        </w:rPr>
        <w:t>Consumer Counsel</w:t>
      </w:r>
      <w:r>
        <w:rPr>
          <w:sz w:val="24"/>
          <w:szCs w:val="24"/>
        </w:rPr>
        <w:t xml:space="preserve"> requested and was granted intervention in the </w:t>
      </w:r>
      <w:r w:rsidR="00C20681">
        <w:rPr>
          <w:sz w:val="24"/>
          <w:szCs w:val="24"/>
        </w:rPr>
        <w:t>consolidate</w:t>
      </w:r>
      <w:r w:rsidR="00FC2430">
        <w:rPr>
          <w:sz w:val="24"/>
          <w:szCs w:val="24"/>
        </w:rPr>
        <w:t>d</w:t>
      </w:r>
      <w:r w:rsidR="00C20681">
        <w:rPr>
          <w:sz w:val="24"/>
          <w:szCs w:val="24"/>
        </w:rPr>
        <w:t xml:space="preserve"> </w:t>
      </w:r>
      <w:r>
        <w:rPr>
          <w:sz w:val="24"/>
          <w:szCs w:val="24"/>
        </w:rPr>
        <w:t xml:space="preserve">docket in </w:t>
      </w:r>
      <w:r w:rsidR="00C72124">
        <w:rPr>
          <w:sz w:val="24"/>
          <w:szCs w:val="24"/>
        </w:rPr>
        <w:t>February 2022</w:t>
      </w:r>
      <w:r w:rsidR="003F6FC9">
        <w:rPr>
          <w:sz w:val="24"/>
          <w:szCs w:val="24"/>
        </w:rPr>
        <w:t>.</w:t>
      </w:r>
    </w:p>
    <w:p w14:paraId="121AFE90" w14:textId="7CAACF86" w:rsidR="00AB0455" w:rsidRDefault="003F6FC9" w:rsidP="00CB6A79">
      <w:pPr>
        <w:pStyle w:val="ListParagraph"/>
        <w:numPr>
          <w:ilvl w:val="0"/>
          <w:numId w:val="7"/>
        </w:numPr>
        <w:rPr>
          <w:sz w:val="24"/>
          <w:szCs w:val="24"/>
        </w:rPr>
      </w:pPr>
      <w:r>
        <w:rPr>
          <w:sz w:val="24"/>
          <w:szCs w:val="24"/>
        </w:rPr>
        <w:t>The Commission issued a Notice of Investigative Procedures that established a discovery period</w:t>
      </w:r>
      <w:r w:rsidR="00F17A9C">
        <w:rPr>
          <w:sz w:val="24"/>
          <w:szCs w:val="24"/>
        </w:rPr>
        <w:t xml:space="preserve"> and a deadline for comments and requests for further process.</w:t>
      </w:r>
    </w:p>
    <w:p w14:paraId="5AD91130" w14:textId="16EAA189" w:rsidR="00FC2FCB" w:rsidRDefault="00FD5C95" w:rsidP="00CB6A79">
      <w:pPr>
        <w:pStyle w:val="ListParagraph"/>
        <w:numPr>
          <w:ilvl w:val="0"/>
          <w:numId w:val="7"/>
        </w:numPr>
        <w:rPr>
          <w:sz w:val="24"/>
          <w:szCs w:val="24"/>
        </w:rPr>
      </w:pPr>
      <w:r>
        <w:rPr>
          <w:sz w:val="24"/>
          <w:szCs w:val="24"/>
        </w:rPr>
        <w:t xml:space="preserve">On May 27, 2022, </w:t>
      </w:r>
      <w:r w:rsidR="0059672B">
        <w:rPr>
          <w:sz w:val="24"/>
          <w:szCs w:val="24"/>
        </w:rPr>
        <w:t xml:space="preserve">the Consumer Counsel </w:t>
      </w:r>
      <w:r>
        <w:rPr>
          <w:sz w:val="24"/>
          <w:szCs w:val="24"/>
        </w:rPr>
        <w:t>issued discovery to CenturyLink.</w:t>
      </w:r>
    </w:p>
    <w:p w14:paraId="26D01024" w14:textId="789BD33B" w:rsidR="00FD5C95" w:rsidRDefault="00FD5C95" w:rsidP="00CB6A79">
      <w:pPr>
        <w:pStyle w:val="ListParagraph"/>
        <w:numPr>
          <w:ilvl w:val="0"/>
          <w:numId w:val="7"/>
        </w:numPr>
        <w:rPr>
          <w:sz w:val="24"/>
          <w:szCs w:val="24"/>
        </w:rPr>
      </w:pPr>
      <w:r>
        <w:rPr>
          <w:sz w:val="24"/>
          <w:szCs w:val="24"/>
        </w:rPr>
        <w:t>On June 3, 2022, the Commission issued a</w:t>
      </w:r>
      <w:r w:rsidR="00F17A9C">
        <w:rPr>
          <w:sz w:val="24"/>
          <w:szCs w:val="24"/>
        </w:rPr>
        <w:t xml:space="preserve"> </w:t>
      </w:r>
      <w:r>
        <w:rPr>
          <w:sz w:val="24"/>
          <w:szCs w:val="24"/>
        </w:rPr>
        <w:t xml:space="preserve">procedural order </w:t>
      </w:r>
      <w:r w:rsidR="00F17A9C">
        <w:rPr>
          <w:sz w:val="24"/>
          <w:szCs w:val="24"/>
        </w:rPr>
        <w:t xml:space="preserve">modifying previous deadlines in the case and </w:t>
      </w:r>
      <w:r>
        <w:rPr>
          <w:sz w:val="24"/>
          <w:szCs w:val="24"/>
        </w:rPr>
        <w:t xml:space="preserve">establishing a </w:t>
      </w:r>
      <w:r w:rsidR="00F17A9C">
        <w:rPr>
          <w:sz w:val="24"/>
          <w:szCs w:val="24"/>
        </w:rPr>
        <w:t xml:space="preserve">deadline of </w:t>
      </w:r>
      <w:r>
        <w:rPr>
          <w:sz w:val="24"/>
          <w:szCs w:val="24"/>
        </w:rPr>
        <w:t>July 29</w:t>
      </w:r>
      <w:r w:rsidR="00003550">
        <w:rPr>
          <w:sz w:val="24"/>
          <w:szCs w:val="24"/>
        </w:rPr>
        <w:t>, 2022,</w:t>
      </w:r>
      <w:r w:rsidR="00D74F9D">
        <w:rPr>
          <w:sz w:val="24"/>
          <w:szCs w:val="24"/>
        </w:rPr>
        <w:t xml:space="preserve"> </w:t>
      </w:r>
      <w:r w:rsidR="00F17A9C">
        <w:rPr>
          <w:sz w:val="24"/>
          <w:szCs w:val="24"/>
        </w:rPr>
        <w:t xml:space="preserve">for written </w:t>
      </w:r>
      <w:r w:rsidR="00D74F9D">
        <w:rPr>
          <w:sz w:val="24"/>
          <w:szCs w:val="24"/>
        </w:rPr>
        <w:t xml:space="preserve">comments </w:t>
      </w:r>
      <w:r w:rsidR="00F17A9C">
        <w:rPr>
          <w:sz w:val="24"/>
          <w:szCs w:val="24"/>
        </w:rPr>
        <w:t xml:space="preserve">and </w:t>
      </w:r>
      <w:r w:rsidR="00D74F9D">
        <w:rPr>
          <w:sz w:val="24"/>
          <w:szCs w:val="24"/>
        </w:rPr>
        <w:t>request</w:t>
      </w:r>
      <w:r w:rsidR="00F17A9C">
        <w:rPr>
          <w:sz w:val="24"/>
          <w:szCs w:val="24"/>
        </w:rPr>
        <w:t>s for</w:t>
      </w:r>
      <w:r w:rsidR="00D74F9D">
        <w:rPr>
          <w:sz w:val="24"/>
          <w:szCs w:val="24"/>
        </w:rPr>
        <w:t xml:space="preserve"> additional process.</w:t>
      </w:r>
    </w:p>
    <w:p w14:paraId="25E84DFB" w14:textId="72CF9566" w:rsidR="008640FC" w:rsidRDefault="008640FC" w:rsidP="00CB6A79">
      <w:pPr>
        <w:pStyle w:val="ListParagraph"/>
        <w:numPr>
          <w:ilvl w:val="0"/>
          <w:numId w:val="7"/>
        </w:numPr>
        <w:rPr>
          <w:sz w:val="24"/>
          <w:szCs w:val="24"/>
        </w:rPr>
      </w:pPr>
      <w:r>
        <w:rPr>
          <w:sz w:val="24"/>
          <w:szCs w:val="24"/>
        </w:rPr>
        <w:t xml:space="preserve">On July 8, </w:t>
      </w:r>
      <w:r w:rsidR="00003550">
        <w:rPr>
          <w:sz w:val="24"/>
          <w:szCs w:val="24"/>
        </w:rPr>
        <w:t xml:space="preserve">2022, </w:t>
      </w:r>
      <w:r>
        <w:rPr>
          <w:sz w:val="24"/>
          <w:szCs w:val="24"/>
        </w:rPr>
        <w:t xml:space="preserve">CenturyLink filed a motion requesting a </w:t>
      </w:r>
      <w:proofErr w:type="gramStart"/>
      <w:r>
        <w:rPr>
          <w:sz w:val="24"/>
          <w:szCs w:val="24"/>
        </w:rPr>
        <w:t>30 day</w:t>
      </w:r>
      <w:proofErr w:type="gramEnd"/>
      <w:r>
        <w:rPr>
          <w:sz w:val="24"/>
          <w:szCs w:val="24"/>
        </w:rPr>
        <w:t xml:space="preserve"> continuance</w:t>
      </w:r>
      <w:r w:rsidR="00B61A8D">
        <w:rPr>
          <w:sz w:val="24"/>
          <w:szCs w:val="24"/>
        </w:rPr>
        <w:t xml:space="preserve">, in part to allow it to pursue settlement options with </w:t>
      </w:r>
      <w:r w:rsidR="0059672B">
        <w:rPr>
          <w:sz w:val="24"/>
          <w:szCs w:val="24"/>
        </w:rPr>
        <w:t>the Consumer Counsel</w:t>
      </w:r>
      <w:r w:rsidR="00B61A8D">
        <w:rPr>
          <w:sz w:val="24"/>
          <w:szCs w:val="24"/>
        </w:rPr>
        <w:t>.</w:t>
      </w:r>
    </w:p>
    <w:p w14:paraId="7F1B4D6B" w14:textId="7B891AA3" w:rsidR="0059672B" w:rsidRDefault="00BD772A" w:rsidP="00CB6A79">
      <w:pPr>
        <w:pStyle w:val="ListParagraph"/>
        <w:numPr>
          <w:ilvl w:val="0"/>
          <w:numId w:val="7"/>
        </w:numPr>
        <w:rPr>
          <w:sz w:val="24"/>
          <w:szCs w:val="24"/>
        </w:rPr>
      </w:pPr>
      <w:r>
        <w:rPr>
          <w:sz w:val="24"/>
          <w:szCs w:val="24"/>
        </w:rPr>
        <w:t>In August</w:t>
      </w:r>
      <w:r w:rsidR="00003550">
        <w:rPr>
          <w:sz w:val="24"/>
          <w:szCs w:val="24"/>
        </w:rPr>
        <w:t xml:space="preserve"> 2022</w:t>
      </w:r>
      <w:r>
        <w:rPr>
          <w:sz w:val="24"/>
          <w:szCs w:val="24"/>
        </w:rPr>
        <w:t xml:space="preserve"> the Consumer Counsel requested a further extension because it had not yet received and reviewed certain confidential material requested in discovery.</w:t>
      </w:r>
    </w:p>
    <w:p w14:paraId="7820061C" w14:textId="43EA4D89" w:rsidR="0059672B" w:rsidRDefault="00F17A9C" w:rsidP="00CB6A79">
      <w:pPr>
        <w:pStyle w:val="ListParagraph"/>
        <w:numPr>
          <w:ilvl w:val="0"/>
          <w:numId w:val="7"/>
        </w:numPr>
        <w:rPr>
          <w:sz w:val="24"/>
          <w:szCs w:val="24"/>
        </w:rPr>
      </w:pPr>
      <w:r>
        <w:rPr>
          <w:sz w:val="24"/>
          <w:szCs w:val="24"/>
        </w:rPr>
        <w:t xml:space="preserve">The Consumer Counsel submitted comments in the </w:t>
      </w:r>
      <w:proofErr w:type="gramStart"/>
      <w:r>
        <w:rPr>
          <w:sz w:val="24"/>
          <w:szCs w:val="24"/>
        </w:rPr>
        <w:t>proceeding</w:t>
      </w:r>
      <w:proofErr w:type="gramEnd"/>
      <w:r>
        <w:rPr>
          <w:sz w:val="24"/>
          <w:szCs w:val="24"/>
        </w:rPr>
        <w:t xml:space="preserve"> in September 2022</w:t>
      </w:r>
      <w:r w:rsidR="00BD772A">
        <w:rPr>
          <w:sz w:val="24"/>
          <w:szCs w:val="24"/>
        </w:rPr>
        <w:t>.</w:t>
      </w:r>
    </w:p>
    <w:p w14:paraId="2985BAD9" w14:textId="2EBA3762" w:rsidR="00F17A9C" w:rsidRDefault="00F17A9C" w:rsidP="00CB6A79">
      <w:pPr>
        <w:pStyle w:val="ListParagraph"/>
        <w:numPr>
          <w:ilvl w:val="0"/>
          <w:numId w:val="7"/>
        </w:numPr>
        <w:rPr>
          <w:sz w:val="24"/>
          <w:szCs w:val="24"/>
        </w:rPr>
      </w:pPr>
      <w:r>
        <w:rPr>
          <w:sz w:val="24"/>
          <w:szCs w:val="24"/>
        </w:rPr>
        <w:t>CenturyLink submitted a response to the Consumer Counsel’s comments in October 2022.</w:t>
      </w:r>
    </w:p>
    <w:p w14:paraId="20D9319C" w14:textId="406C472B" w:rsidR="002F1BD1" w:rsidRDefault="002F1BD1" w:rsidP="00CB6A79">
      <w:pPr>
        <w:pStyle w:val="ListParagraph"/>
        <w:numPr>
          <w:ilvl w:val="0"/>
          <w:numId w:val="7"/>
        </w:numPr>
        <w:rPr>
          <w:sz w:val="24"/>
          <w:szCs w:val="24"/>
        </w:rPr>
      </w:pPr>
      <w:r>
        <w:rPr>
          <w:sz w:val="24"/>
          <w:szCs w:val="24"/>
        </w:rPr>
        <w:t>On November 2, 2022, by Notice of Commission Action, the Commission directed CenturyLink to submit a proposal for resolving the service quality issues in the proceeding. The Commission required CenturyLink to base its proposal on a settlement agreement it had executed with parties in Wyoming to resolve similar quality of service issues.</w:t>
      </w:r>
    </w:p>
    <w:p w14:paraId="4EAE47A6" w14:textId="7661092A" w:rsidR="002F1BD1" w:rsidRDefault="002F1BD1" w:rsidP="00CB6A79">
      <w:pPr>
        <w:pStyle w:val="ListParagraph"/>
        <w:numPr>
          <w:ilvl w:val="0"/>
          <w:numId w:val="7"/>
        </w:numPr>
        <w:rPr>
          <w:sz w:val="24"/>
          <w:szCs w:val="24"/>
        </w:rPr>
      </w:pPr>
      <w:r>
        <w:rPr>
          <w:sz w:val="24"/>
          <w:szCs w:val="24"/>
        </w:rPr>
        <w:t>CenturyLink submitted its proposal in December 2022.</w:t>
      </w:r>
    </w:p>
    <w:p w14:paraId="1B48AE58" w14:textId="1A711F22" w:rsidR="002F1BD1" w:rsidRDefault="002F1BD1" w:rsidP="00CB6A79">
      <w:pPr>
        <w:pStyle w:val="ListParagraph"/>
        <w:numPr>
          <w:ilvl w:val="0"/>
          <w:numId w:val="7"/>
        </w:numPr>
        <w:rPr>
          <w:sz w:val="24"/>
          <w:szCs w:val="24"/>
        </w:rPr>
      </w:pPr>
      <w:r>
        <w:rPr>
          <w:sz w:val="24"/>
          <w:szCs w:val="24"/>
        </w:rPr>
        <w:t>In February 2023, the Commission issued discovery to CenturyLink regarding several aspects of its proposal.</w:t>
      </w:r>
    </w:p>
    <w:p w14:paraId="7F56ABB5" w14:textId="539D1D77" w:rsidR="002F1BD1" w:rsidRDefault="002F1BD1" w:rsidP="00CB6A79">
      <w:pPr>
        <w:pStyle w:val="ListParagraph"/>
        <w:numPr>
          <w:ilvl w:val="0"/>
          <w:numId w:val="7"/>
        </w:numPr>
        <w:rPr>
          <w:sz w:val="24"/>
          <w:szCs w:val="24"/>
        </w:rPr>
      </w:pPr>
      <w:r>
        <w:rPr>
          <w:sz w:val="24"/>
          <w:szCs w:val="24"/>
        </w:rPr>
        <w:t xml:space="preserve">The Commission </w:t>
      </w:r>
      <w:r w:rsidR="000B229A">
        <w:rPr>
          <w:sz w:val="24"/>
          <w:szCs w:val="24"/>
        </w:rPr>
        <w:t xml:space="preserve">held </w:t>
      </w:r>
      <w:r>
        <w:rPr>
          <w:sz w:val="24"/>
          <w:szCs w:val="24"/>
        </w:rPr>
        <w:t xml:space="preserve">a public hearing on CenturyLink’s proposal </w:t>
      </w:r>
      <w:r w:rsidR="000B229A">
        <w:rPr>
          <w:sz w:val="24"/>
          <w:szCs w:val="24"/>
        </w:rPr>
        <w:t xml:space="preserve">in </w:t>
      </w:r>
      <w:r w:rsidR="00DE3B23">
        <w:rPr>
          <w:sz w:val="24"/>
          <w:szCs w:val="24"/>
        </w:rPr>
        <w:t>September 2023</w:t>
      </w:r>
      <w:r>
        <w:rPr>
          <w:sz w:val="24"/>
          <w:szCs w:val="24"/>
        </w:rPr>
        <w:t>.</w:t>
      </w:r>
      <w:r w:rsidR="000B229A">
        <w:rPr>
          <w:sz w:val="24"/>
          <w:szCs w:val="24"/>
        </w:rPr>
        <w:t xml:space="preserve"> A decision is expected in early 2024.</w:t>
      </w:r>
    </w:p>
    <w:p w14:paraId="4FFB1B9E" w14:textId="77777777" w:rsidR="00003550" w:rsidRPr="00003550" w:rsidRDefault="00003550" w:rsidP="00003550"/>
    <w:p w14:paraId="7DDF4A19" w14:textId="5A697752" w:rsidR="00DD12F1" w:rsidRDefault="00DD12F1" w:rsidP="00003550">
      <w:pPr>
        <w:pStyle w:val="Heading2"/>
      </w:pPr>
      <w:r>
        <w:t xml:space="preserve">PURPA Section 111(d) – Docket </w:t>
      </w:r>
      <w:r w:rsidR="00C97CB8">
        <w:t>2022.09.084</w:t>
      </w:r>
    </w:p>
    <w:p w14:paraId="5CD61D97" w14:textId="77777777" w:rsidR="0057031D" w:rsidRDefault="00DD12F1" w:rsidP="00CB6A79">
      <w:pPr>
        <w:pStyle w:val="ListParagraph"/>
        <w:widowControl w:val="0"/>
        <w:numPr>
          <w:ilvl w:val="0"/>
          <w:numId w:val="17"/>
        </w:numPr>
        <w:autoSpaceDE w:val="0"/>
        <w:autoSpaceDN w:val="0"/>
        <w:spacing w:after="0" w:line="240" w:lineRule="auto"/>
        <w:ind w:left="720"/>
        <w:rPr>
          <w:sz w:val="24"/>
          <w:szCs w:val="24"/>
        </w:rPr>
      </w:pPr>
      <w:r w:rsidRPr="0057031D">
        <w:rPr>
          <w:sz w:val="24"/>
          <w:szCs w:val="24"/>
        </w:rPr>
        <w:t>The Infrastructure Investment and Jobs Act of 2021 (“IIJA”) amended Section 111(d) of the Public Utility Regulatory Policies Act (“PURPA”) to require that states consider measures to promote greater electrification of the transportation sector, including the establishment of utility rates that:</w:t>
      </w:r>
    </w:p>
    <w:p w14:paraId="687715B7" w14:textId="6E0BFC2C" w:rsidR="0057031D" w:rsidRPr="0057031D" w:rsidRDefault="00DD12F1" w:rsidP="00CB6A79">
      <w:pPr>
        <w:pStyle w:val="ListParagraph"/>
        <w:widowControl w:val="0"/>
        <w:numPr>
          <w:ilvl w:val="1"/>
          <w:numId w:val="17"/>
        </w:numPr>
        <w:autoSpaceDE w:val="0"/>
        <w:autoSpaceDN w:val="0"/>
        <w:spacing w:after="0" w:line="240" w:lineRule="auto"/>
        <w:ind w:left="1440"/>
        <w:rPr>
          <w:sz w:val="24"/>
          <w:szCs w:val="24"/>
        </w:rPr>
      </w:pPr>
      <w:r w:rsidRPr="0057031D">
        <w:rPr>
          <w:sz w:val="24"/>
          <w:szCs w:val="24"/>
        </w:rPr>
        <w:t xml:space="preserve">Promote affordable and equitable electric vehicle charging options for residential, commercial, and public electric vehicle charging </w:t>
      </w:r>
      <w:proofErr w:type="gramStart"/>
      <w:r w:rsidRPr="0057031D">
        <w:rPr>
          <w:sz w:val="24"/>
          <w:szCs w:val="24"/>
        </w:rPr>
        <w:t>infrastructure;</w:t>
      </w:r>
      <w:proofErr w:type="gramEnd"/>
    </w:p>
    <w:p w14:paraId="04A6CFF1" w14:textId="6B52F467" w:rsidR="00DD12F1" w:rsidRPr="0057031D" w:rsidRDefault="00DD12F1" w:rsidP="00CB6A79">
      <w:pPr>
        <w:pStyle w:val="ListParagraph"/>
        <w:widowControl w:val="0"/>
        <w:numPr>
          <w:ilvl w:val="1"/>
          <w:numId w:val="17"/>
        </w:numPr>
        <w:autoSpaceDE w:val="0"/>
        <w:autoSpaceDN w:val="0"/>
        <w:spacing w:after="0" w:line="240" w:lineRule="auto"/>
        <w:ind w:left="1440"/>
        <w:rPr>
          <w:sz w:val="24"/>
          <w:szCs w:val="24"/>
        </w:rPr>
      </w:pPr>
      <w:r w:rsidRPr="0057031D">
        <w:rPr>
          <w:sz w:val="24"/>
          <w:szCs w:val="24"/>
        </w:rPr>
        <w:t xml:space="preserve">Improve the customer experience associated with electric vehicle charging, including by reducing charging </w:t>
      </w:r>
      <w:proofErr w:type="gramStart"/>
      <w:r w:rsidRPr="0057031D">
        <w:rPr>
          <w:sz w:val="24"/>
          <w:szCs w:val="24"/>
        </w:rPr>
        <w:t>times;</w:t>
      </w:r>
      <w:proofErr w:type="gramEnd"/>
    </w:p>
    <w:p w14:paraId="0E8408E6" w14:textId="77777777" w:rsidR="00DD12F1" w:rsidRPr="0057093A" w:rsidRDefault="00DD12F1" w:rsidP="00CB6A79">
      <w:pPr>
        <w:pStyle w:val="ListParagraph"/>
        <w:widowControl w:val="0"/>
        <w:numPr>
          <w:ilvl w:val="1"/>
          <w:numId w:val="17"/>
        </w:numPr>
        <w:autoSpaceDE w:val="0"/>
        <w:autoSpaceDN w:val="0"/>
        <w:spacing w:after="0" w:line="240" w:lineRule="auto"/>
        <w:ind w:left="1440"/>
        <w:rPr>
          <w:sz w:val="24"/>
          <w:szCs w:val="24"/>
        </w:rPr>
      </w:pPr>
      <w:r w:rsidRPr="0057093A">
        <w:rPr>
          <w:sz w:val="24"/>
          <w:szCs w:val="24"/>
        </w:rPr>
        <w:t>Accelerate third-party investment in electric vehicle charging; and</w:t>
      </w:r>
    </w:p>
    <w:p w14:paraId="7A5629CE" w14:textId="77777777" w:rsidR="00DD12F1" w:rsidRPr="0057093A" w:rsidRDefault="00DD12F1" w:rsidP="00CB6A79">
      <w:pPr>
        <w:pStyle w:val="ListParagraph"/>
        <w:widowControl w:val="0"/>
        <w:numPr>
          <w:ilvl w:val="1"/>
          <w:numId w:val="17"/>
        </w:numPr>
        <w:autoSpaceDE w:val="0"/>
        <w:autoSpaceDN w:val="0"/>
        <w:spacing w:after="0" w:line="240" w:lineRule="auto"/>
        <w:ind w:left="1440"/>
        <w:rPr>
          <w:sz w:val="24"/>
          <w:szCs w:val="24"/>
        </w:rPr>
      </w:pPr>
      <w:r w:rsidRPr="0057093A">
        <w:rPr>
          <w:sz w:val="24"/>
          <w:szCs w:val="24"/>
        </w:rPr>
        <w:t>Appropriately recover the marginal costs of delivering electricity to electric vehicles and electric vehicle charging infrastructure.</w:t>
      </w:r>
    </w:p>
    <w:p w14:paraId="1C2283BC" w14:textId="41E7EB72" w:rsidR="0057031D" w:rsidRDefault="00DD12F1" w:rsidP="00CB6A79">
      <w:pPr>
        <w:pStyle w:val="ListParagraph"/>
        <w:numPr>
          <w:ilvl w:val="0"/>
          <w:numId w:val="17"/>
        </w:numPr>
        <w:ind w:left="720"/>
        <w:rPr>
          <w:sz w:val="24"/>
          <w:szCs w:val="24"/>
        </w:rPr>
      </w:pPr>
      <w:r w:rsidRPr="0057031D">
        <w:rPr>
          <w:sz w:val="24"/>
          <w:szCs w:val="24"/>
        </w:rPr>
        <w:t>Pursuant to Section 112 of PURPA, state regulatory authorities, such as the Commission, must commence consideration of these potential measures by November 2022.</w:t>
      </w:r>
    </w:p>
    <w:p w14:paraId="79404B2E" w14:textId="6B783F10" w:rsidR="007E5F38" w:rsidRDefault="007E5F38" w:rsidP="00CB6A79">
      <w:pPr>
        <w:pStyle w:val="ListParagraph"/>
        <w:numPr>
          <w:ilvl w:val="0"/>
          <w:numId w:val="17"/>
        </w:numPr>
        <w:ind w:left="720"/>
        <w:rPr>
          <w:sz w:val="24"/>
          <w:szCs w:val="24"/>
        </w:rPr>
      </w:pPr>
      <w:r>
        <w:rPr>
          <w:sz w:val="24"/>
          <w:szCs w:val="24"/>
        </w:rPr>
        <w:t>The IIJA contains similar provisions for demand response resources/programs.</w:t>
      </w:r>
    </w:p>
    <w:p w14:paraId="5477640C" w14:textId="7DFB5E59" w:rsidR="00DD12F1" w:rsidRDefault="007E5F38" w:rsidP="00CB6A79">
      <w:pPr>
        <w:pStyle w:val="ListParagraph"/>
        <w:numPr>
          <w:ilvl w:val="0"/>
          <w:numId w:val="17"/>
        </w:numPr>
        <w:ind w:left="720"/>
        <w:rPr>
          <w:sz w:val="24"/>
          <w:szCs w:val="24"/>
        </w:rPr>
      </w:pPr>
      <w:r>
        <w:rPr>
          <w:sz w:val="24"/>
          <w:szCs w:val="24"/>
        </w:rPr>
        <w:t>On August 23, t</w:t>
      </w:r>
      <w:r w:rsidR="00DD12F1" w:rsidRPr="0057031D">
        <w:rPr>
          <w:sz w:val="24"/>
          <w:szCs w:val="24"/>
        </w:rPr>
        <w:t xml:space="preserve">he Commission </w:t>
      </w:r>
      <w:r>
        <w:rPr>
          <w:sz w:val="24"/>
          <w:szCs w:val="24"/>
        </w:rPr>
        <w:t xml:space="preserve">voted to </w:t>
      </w:r>
      <w:r w:rsidR="00DD12F1" w:rsidRPr="0057031D">
        <w:rPr>
          <w:sz w:val="24"/>
          <w:szCs w:val="24"/>
        </w:rPr>
        <w:t xml:space="preserve">initiate </w:t>
      </w:r>
      <w:proofErr w:type="gramStart"/>
      <w:r w:rsidR="00DD12F1" w:rsidRPr="0057031D">
        <w:rPr>
          <w:sz w:val="24"/>
          <w:szCs w:val="24"/>
        </w:rPr>
        <w:t>a proceeding</w:t>
      </w:r>
      <w:proofErr w:type="gramEnd"/>
      <w:r w:rsidR="00DD12F1" w:rsidRPr="0057031D">
        <w:rPr>
          <w:sz w:val="24"/>
          <w:szCs w:val="24"/>
        </w:rPr>
        <w:t xml:space="preserve"> </w:t>
      </w:r>
      <w:r>
        <w:rPr>
          <w:sz w:val="24"/>
          <w:szCs w:val="24"/>
        </w:rPr>
        <w:t>to investigate these provisions of the IIJA.</w:t>
      </w:r>
      <w:r w:rsidR="00DD12F1" w:rsidRPr="0057031D">
        <w:rPr>
          <w:sz w:val="24"/>
          <w:szCs w:val="24"/>
        </w:rPr>
        <w:t xml:space="preserve"> Through the </w:t>
      </w:r>
      <w:proofErr w:type="gramStart"/>
      <w:r w:rsidR="00DD12F1" w:rsidRPr="0057031D">
        <w:rPr>
          <w:sz w:val="24"/>
          <w:szCs w:val="24"/>
        </w:rPr>
        <w:t>proceeding</w:t>
      </w:r>
      <w:proofErr w:type="gramEnd"/>
      <w:r w:rsidR="00DD12F1" w:rsidRPr="0057031D">
        <w:rPr>
          <w:sz w:val="24"/>
          <w:szCs w:val="24"/>
        </w:rPr>
        <w:t xml:space="preserve"> the Commission will obtain information and opinions from regulated utilities and the public relevant to the Commission’s consideration of utility rates that meet IIJA criteria.</w:t>
      </w:r>
    </w:p>
    <w:p w14:paraId="2F5F6682" w14:textId="69D7A708" w:rsidR="00687A52" w:rsidRDefault="00687A52" w:rsidP="00CB6A79">
      <w:pPr>
        <w:pStyle w:val="ListParagraph"/>
        <w:numPr>
          <w:ilvl w:val="0"/>
          <w:numId w:val="17"/>
        </w:numPr>
        <w:ind w:left="720"/>
        <w:rPr>
          <w:sz w:val="24"/>
          <w:szCs w:val="24"/>
        </w:rPr>
      </w:pPr>
      <w:r>
        <w:rPr>
          <w:sz w:val="24"/>
          <w:szCs w:val="24"/>
        </w:rPr>
        <w:t>A Notice of Opportunity to Comment was issued on September 2</w:t>
      </w:r>
      <w:r w:rsidR="00190A14">
        <w:rPr>
          <w:sz w:val="24"/>
          <w:szCs w:val="24"/>
        </w:rPr>
        <w:t>, 2022</w:t>
      </w:r>
      <w:r>
        <w:rPr>
          <w:sz w:val="24"/>
          <w:szCs w:val="24"/>
        </w:rPr>
        <w:t>.</w:t>
      </w:r>
    </w:p>
    <w:p w14:paraId="7343856B" w14:textId="4019EC7A" w:rsidR="00190A14" w:rsidRDefault="00190A14" w:rsidP="00CB6A79">
      <w:pPr>
        <w:pStyle w:val="ListParagraph"/>
        <w:numPr>
          <w:ilvl w:val="0"/>
          <w:numId w:val="17"/>
        </w:numPr>
        <w:ind w:left="720"/>
        <w:rPr>
          <w:sz w:val="24"/>
          <w:szCs w:val="24"/>
        </w:rPr>
      </w:pPr>
      <w:r>
        <w:rPr>
          <w:sz w:val="24"/>
          <w:szCs w:val="24"/>
        </w:rPr>
        <w:t xml:space="preserve">The Commission received comments </w:t>
      </w:r>
      <w:r w:rsidR="00B349C8">
        <w:rPr>
          <w:sz w:val="24"/>
          <w:szCs w:val="24"/>
        </w:rPr>
        <w:t xml:space="preserve">from </w:t>
      </w:r>
      <w:proofErr w:type="spellStart"/>
      <w:r w:rsidR="00B349C8">
        <w:rPr>
          <w:sz w:val="24"/>
          <w:szCs w:val="24"/>
        </w:rPr>
        <w:t>BroadbandMT</w:t>
      </w:r>
      <w:proofErr w:type="spellEnd"/>
      <w:r w:rsidR="00B349C8">
        <w:rPr>
          <w:sz w:val="24"/>
          <w:szCs w:val="24"/>
        </w:rPr>
        <w:t xml:space="preserve"> </w:t>
      </w:r>
      <w:r>
        <w:rPr>
          <w:sz w:val="24"/>
          <w:szCs w:val="24"/>
        </w:rPr>
        <w:t>in October 2022.</w:t>
      </w:r>
      <w:r w:rsidR="00B349C8">
        <w:rPr>
          <w:sz w:val="24"/>
          <w:szCs w:val="24"/>
        </w:rPr>
        <w:t xml:space="preserve"> No other comments were received.</w:t>
      </w:r>
    </w:p>
    <w:p w14:paraId="075360E4" w14:textId="55481DDD" w:rsidR="00190A14" w:rsidRDefault="00190A14" w:rsidP="00CB6A79">
      <w:pPr>
        <w:pStyle w:val="ListParagraph"/>
        <w:numPr>
          <w:ilvl w:val="0"/>
          <w:numId w:val="17"/>
        </w:numPr>
        <w:ind w:left="720"/>
        <w:rPr>
          <w:sz w:val="24"/>
          <w:szCs w:val="24"/>
        </w:rPr>
      </w:pPr>
      <w:r>
        <w:rPr>
          <w:sz w:val="24"/>
          <w:szCs w:val="24"/>
        </w:rPr>
        <w:t>No further action has been taken in the docket to date.</w:t>
      </w:r>
    </w:p>
    <w:p w14:paraId="10E07272" w14:textId="3043A05B" w:rsidR="00CB6A79" w:rsidRDefault="00CB6A79" w:rsidP="00CB6A79">
      <w:pPr>
        <w:rPr>
          <w:sz w:val="24"/>
          <w:szCs w:val="24"/>
        </w:rPr>
      </w:pPr>
    </w:p>
    <w:p w14:paraId="2D6B8A9E" w14:textId="5AABFB3A" w:rsidR="00CB6A79" w:rsidRDefault="00CB6A79" w:rsidP="00003550">
      <w:pPr>
        <w:pStyle w:val="Heading2"/>
      </w:pPr>
      <w:r>
        <w:t>Resource Adequacy and Risk Profiles in the Montana and Regional Electricity Supply</w:t>
      </w:r>
      <w:r w:rsidR="00940010">
        <w:t xml:space="preserve"> – Docket 2022.09.087</w:t>
      </w:r>
    </w:p>
    <w:p w14:paraId="294300D8" w14:textId="1788BA15" w:rsidR="00CB6A79" w:rsidRDefault="00CB6A79" w:rsidP="00CB6A79">
      <w:pPr>
        <w:pStyle w:val="ListParagraph"/>
        <w:numPr>
          <w:ilvl w:val="0"/>
          <w:numId w:val="20"/>
        </w:numPr>
        <w:rPr>
          <w:sz w:val="24"/>
          <w:szCs w:val="24"/>
        </w:rPr>
      </w:pPr>
      <w:r>
        <w:rPr>
          <w:sz w:val="24"/>
          <w:szCs w:val="24"/>
        </w:rPr>
        <w:t>On August 30, 2022, the Commission voted to initiate an investigative docket on resource adequacy and risks to the electrical supply of the State of Montana.</w:t>
      </w:r>
    </w:p>
    <w:p w14:paraId="30718BE6" w14:textId="77777777" w:rsidR="00940010" w:rsidRDefault="00940010" w:rsidP="00CB6A79">
      <w:pPr>
        <w:pStyle w:val="ListParagraph"/>
        <w:numPr>
          <w:ilvl w:val="0"/>
          <w:numId w:val="20"/>
        </w:numPr>
        <w:rPr>
          <w:sz w:val="24"/>
          <w:szCs w:val="24"/>
        </w:rPr>
      </w:pPr>
      <w:r>
        <w:rPr>
          <w:sz w:val="24"/>
          <w:szCs w:val="24"/>
        </w:rPr>
        <w:t>On September 20, 2022, the Commission issued a Notice of Investigative Docket and Opportunity to Comment</w:t>
      </w:r>
      <w:r w:rsidR="00CB6A79">
        <w:rPr>
          <w:sz w:val="24"/>
          <w:szCs w:val="24"/>
        </w:rPr>
        <w:t>.</w:t>
      </w:r>
    </w:p>
    <w:p w14:paraId="0A6BC3B3" w14:textId="783C89AE" w:rsidR="00CB6A79" w:rsidRDefault="00940010" w:rsidP="00CB6A79">
      <w:pPr>
        <w:pStyle w:val="ListParagraph"/>
        <w:numPr>
          <w:ilvl w:val="0"/>
          <w:numId w:val="20"/>
        </w:numPr>
        <w:rPr>
          <w:sz w:val="24"/>
          <w:szCs w:val="24"/>
        </w:rPr>
      </w:pPr>
      <w:r>
        <w:rPr>
          <w:sz w:val="24"/>
          <w:szCs w:val="24"/>
        </w:rPr>
        <w:t>In the Notice, the Commission described that the purpose of the investigation is to determine the size and scope of resource adequacy</w:t>
      </w:r>
      <w:r w:rsidR="00DE3B23">
        <w:rPr>
          <w:sz w:val="24"/>
          <w:szCs w:val="24"/>
        </w:rPr>
        <w:t xml:space="preserve"> issues</w:t>
      </w:r>
      <w:r>
        <w:rPr>
          <w:sz w:val="24"/>
          <w:szCs w:val="24"/>
        </w:rPr>
        <w:t xml:space="preserve"> facing Montana and the Western Region. The Commission intend</w:t>
      </w:r>
      <w:r w:rsidR="00DE3B23">
        <w:rPr>
          <w:sz w:val="24"/>
          <w:szCs w:val="24"/>
        </w:rPr>
        <w:t>s</w:t>
      </w:r>
      <w:r>
        <w:rPr>
          <w:sz w:val="24"/>
          <w:szCs w:val="24"/>
        </w:rPr>
        <w:t xml:space="preserve"> to use the docket as a catalyst and a forum for ongoing discussion</w:t>
      </w:r>
      <w:r w:rsidR="00DE3B23">
        <w:rPr>
          <w:sz w:val="24"/>
          <w:szCs w:val="24"/>
        </w:rPr>
        <w:t>s</w:t>
      </w:r>
      <w:r>
        <w:rPr>
          <w:sz w:val="24"/>
          <w:szCs w:val="24"/>
        </w:rPr>
        <w:t xml:space="preserve"> about resource adequacy issues.</w:t>
      </w:r>
    </w:p>
    <w:p w14:paraId="40DA370B" w14:textId="2A1BB743" w:rsidR="00940010" w:rsidRDefault="00A67192" w:rsidP="00CB6A79">
      <w:pPr>
        <w:pStyle w:val="ListParagraph"/>
        <w:numPr>
          <w:ilvl w:val="0"/>
          <w:numId w:val="20"/>
        </w:numPr>
        <w:rPr>
          <w:sz w:val="24"/>
          <w:szCs w:val="24"/>
        </w:rPr>
      </w:pPr>
      <w:r>
        <w:rPr>
          <w:sz w:val="24"/>
          <w:szCs w:val="24"/>
        </w:rPr>
        <w:t>In October 2022, t</w:t>
      </w:r>
      <w:r w:rsidR="00940010">
        <w:rPr>
          <w:sz w:val="24"/>
          <w:szCs w:val="24"/>
        </w:rPr>
        <w:t xml:space="preserve">he Commission received written comments from NorthWestern Energy, Friends of 2 Rivers, Department of Environmental Quality, Colstrip Energy Limited Partnership, and the Northwest Independent Power Producers Coalition. </w:t>
      </w:r>
      <w:r>
        <w:rPr>
          <w:sz w:val="24"/>
          <w:szCs w:val="24"/>
        </w:rPr>
        <w:t>In November 2022, the Commission received supplemental comments from Northwest Energy Coalition.</w:t>
      </w:r>
    </w:p>
    <w:p w14:paraId="652EAF7F" w14:textId="436C61DF" w:rsidR="00A67192" w:rsidRDefault="00A67192" w:rsidP="00CB6A79">
      <w:pPr>
        <w:pStyle w:val="ListParagraph"/>
        <w:numPr>
          <w:ilvl w:val="0"/>
          <w:numId w:val="20"/>
        </w:numPr>
        <w:rPr>
          <w:sz w:val="24"/>
          <w:szCs w:val="24"/>
        </w:rPr>
      </w:pPr>
      <w:r>
        <w:rPr>
          <w:sz w:val="24"/>
          <w:szCs w:val="24"/>
        </w:rPr>
        <w:t>In December 2022, the Commission hosted a two-day conference with regional regulators and other interested stakeholders focused on resource adequacy issues.</w:t>
      </w:r>
    </w:p>
    <w:p w14:paraId="734CC78C" w14:textId="5814220E" w:rsidR="00BF77C4" w:rsidRDefault="00B349C8" w:rsidP="00CB6A79">
      <w:pPr>
        <w:pStyle w:val="ListParagraph"/>
        <w:numPr>
          <w:ilvl w:val="0"/>
          <w:numId w:val="20"/>
        </w:numPr>
        <w:rPr>
          <w:sz w:val="24"/>
          <w:szCs w:val="24"/>
        </w:rPr>
      </w:pPr>
      <w:r>
        <w:rPr>
          <w:sz w:val="24"/>
          <w:szCs w:val="24"/>
        </w:rPr>
        <w:t>The Commission and its staff continue to research and participate in regional planning for resource adequacy</w:t>
      </w:r>
      <w:r w:rsidR="00BF77C4">
        <w:rPr>
          <w:sz w:val="24"/>
          <w:szCs w:val="24"/>
        </w:rPr>
        <w:t>.</w:t>
      </w:r>
    </w:p>
    <w:p w14:paraId="417FB152" w14:textId="77777777" w:rsidR="002346AF" w:rsidRDefault="002346AF" w:rsidP="002346AF">
      <w:pPr>
        <w:pStyle w:val="ListParagraph"/>
        <w:rPr>
          <w:sz w:val="24"/>
          <w:szCs w:val="24"/>
        </w:rPr>
      </w:pPr>
    </w:p>
    <w:p w14:paraId="3908E1FC" w14:textId="096E0DB5" w:rsidR="00003550" w:rsidRDefault="00003550" w:rsidP="00003550">
      <w:pPr>
        <w:pStyle w:val="Heading2"/>
      </w:pPr>
      <w:r>
        <w:t>Class C Motor Carrier Rulemaking – Docket 2023.05.038</w:t>
      </w:r>
    </w:p>
    <w:p w14:paraId="3A28B8E5" w14:textId="2EC99EA3" w:rsidR="00003550" w:rsidRDefault="00033EDE" w:rsidP="00033EDE">
      <w:pPr>
        <w:pStyle w:val="ListParagraph"/>
        <w:numPr>
          <w:ilvl w:val="0"/>
          <w:numId w:val="27"/>
        </w:numPr>
        <w:rPr>
          <w:sz w:val="24"/>
          <w:szCs w:val="24"/>
        </w:rPr>
      </w:pPr>
      <w:r>
        <w:rPr>
          <w:sz w:val="24"/>
          <w:szCs w:val="24"/>
        </w:rPr>
        <w:t>In April 2023 the Legislature repealed Class C motor carrier regulation by enacting SB 33.</w:t>
      </w:r>
    </w:p>
    <w:p w14:paraId="2A0DAFBB" w14:textId="5D561981" w:rsidR="00033EDE" w:rsidRDefault="00033EDE" w:rsidP="00033EDE">
      <w:pPr>
        <w:pStyle w:val="ListParagraph"/>
        <w:numPr>
          <w:ilvl w:val="0"/>
          <w:numId w:val="27"/>
        </w:numPr>
        <w:rPr>
          <w:sz w:val="24"/>
          <w:szCs w:val="24"/>
        </w:rPr>
      </w:pPr>
      <w:r>
        <w:rPr>
          <w:sz w:val="24"/>
          <w:szCs w:val="24"/>
        </w:rPr>
        <w:t>SB 33 was requested by the Commission and approved for pre-introduction by the ETIC.</w:t>
      </w:r>
    </w:p>
    <w:p w14:paraId="3F08678D" w14:textId="291B1D97" w:rsidR="00033EDE" w:rsidRDefault="00033EDE" w:rsidP="00033EDE">
      <w:pPr>
        <w:pStyle w:val="ListParagraph"/>
        <w:numPr>
          <w:ilvl w:val="0"/>
          <w:numId w:val="27"/>
        </w:numPr>
        <w:rPr>
          <w:sz w:val="24"/>
          <w:szCs w:val="24"/>
        </w:rPr>
      </w:pPr>
      <w:r>
        <w:rPr>
          <w:sz w:val="24"/>
          <w:szCs w:val="24"/>
        </w:rPr>
        <w:t>A Class C carrier was defined as a carrier that provides transportation service under a contract, charter, or agreement that establishes the charge for the service.</w:t>
      </w:r>
    </w:p>
    <w:p w14:paraId="259DBA95" w14:textId="49A4F340" w:rsidR="00033EDE" w:rsidRPr="00033EDE" w:rsidRDefault="00033EDE" w:rsidP="00033EDE">
      <w:pPr>
        <w:pStyle w:val="ListParagraph"/>
        <w:numPr>
          <w:ilvl w:val="0"/>
          <w:numId w:val="27"/>
        </w:numPr>
        <w:rPr>
          <w:sz w:val="24"/>
          <w:szCs w:val="24"/>
        </w:rPr>
      </w:pPr>
      <w:r w:rsidRPr="00033EDE">
        <w:rPr>
          <w:sz w:val="24"/>
          <w:szCs w:val="24"/>
        </w:rPr>
        <w:t>Historically, Class C transportation service typically involved offloading merchandise and product from railroads and transporting it to stores, manufacturers, farms, etc. within in a specific town, as well as the transportation of railroad crews and equipment to where they were needed.</w:t>
      </w:r>
    </w:p>
    <w:p w14:paraId="2D742134" w14:textId="07D79BC0" w:rsidR="00033EDE" w:rsidRPr="00033EDE" w:rsidRDefault="00033EDE" w:rsidP="00033EDE">
      <w:pPr>
        <w:pStyle w:val="ListParagraph"/>
        <w:numPr>
          <w:ilvl w:val="0"/>
          <w:numId w:val="27"/>
        </w:numPr>
        <w:rPr>
          <w:sz w:val="24"/>
          <w:szCs w:val="24"/>
        </w:rPr>
      </w:pPr>
      <w:r w:rsidRPr="00033EDE">
        <w:rPr>
          <w:sz w:val="24"/>
          <w:szCs w:val="24"/>
        </w:rPr>
        <w:t>In 1994 transportation of freight was deregulated. After that, carriers with Class C licenses issued by the PSC tended to rely on their licenses to perform household goods moving, which was also regulated under the Class B service classification.</w:t>
      </w:r>
    </w:p>
    <w:p w14:paraId="375A5448" w14:textId="5563B80C" w:rsidR="00033EDE" w:rsidRDefault="00033EDE" w:rsidP="00033EDE">
      <w:pPr>
        <w:pStyle w:val="ListParagraph"/>
        <w:numPr>
          <w:ilvl w:val="0"/>
          <w:numId w:val="27"/>
        </w:numPr>
        <w:rPr>
          <w:sz w:val="24"/>
          <w:szCs w:val="24"/>
        </w:rPr>
      </w:pPr>
      <w:r w:rsidRPr="00033EDE">
        <w:rPr>
          <w:sz w:val="24"/>
          <w:szCs w:val="24"/>
        </w:rPr>
        <w:t xml:space="preserve">Because regulation of household goods moving was repealed in 2021 when Class B carriers were removed from PSC jurisdiction, it no longer </w:t>
      </w:r>
      <w:r>
        <w:rPr>
          <w:sz w:val="24"/>
          <w:szCs w:val="24"/>
        </w:rPr>
        <w:t>made</w:t>
      </w:r>
      <w:r w:rsidRPr="00033EDE">
        <w:rPr>
          <w:sz w:val="24"/>
          <w:szCs w:val="24"/>
        </w:rPr>
        <w:t xml:space="preserve"> sense to regulate household goods moving by carriers with Class C licenses, and jurisdiction over other uses for Class C authority </w:t>
      </w:r>
      <w:r>
        <w:rPr>
          <w:sz w:val="24"/>
          <w:szCs w:val="24"/>
        </w:rPr>
        <w:t>are</w:t>
      </w:r>
      <w:r w:rsidRPr="00033EDE">
        <w:rPr>
          <w:sz w:val="24"/>
          <w:szCs w:val="24"/>
        </w:rPr>
        <w:t xml:space="preserve"> either deregulated or federally preempted.</w:t>
      </w:r>
    </w:p>
    <w:p w14:paraId="0D1D287D" w14:textId="1520DFE3" w:rsidR="00033EDE" w:rsidRDefault="00D2256B" w:rsidP="00033EDE">
      <w:pPr>
        <w:pStyle w:val="ListParagraph"/>
        <w:numPr>
          <w:ilvl w:val="0"/>
          <w:numId w:val="27"/>
        </w:numPr>
        <w:rPr>
          <w:sz w:val="24"/>
          <w:szCs w:val="24"/>
        </w:rPr>
      </w:pPr>
      <w:r>
        <w:rPr>
          <w:sz w:val="24"/>
          <w:szCs w:val="24"/>
        </w:rPr>
        <w:t xml:space="preserve">The Commission initiated this Docket in May to notify Class C carriers and the </w:t>
      </w:r>
      <w:proofErr w:type="gramStart"/>
      <w:r>
        <w:rPr>
          <w:sz w:val="24"/>
          <w:szCs w:val="24"/>
        </w:rPr>
        <w:t>general public</w:t>
      </w:r>
      <w:proofErr w:type="gramEnd"/>
      <w:r>
        <w:rPr>
          <w:sz w:val="24"/>
          <w:szCs w:val="24"/>
        </w:rPr>
        <w:t xml:space="preserve"> of the Legislature’s repeal of Class C regulation.</w:t>
      </w:r>
    </w:p>
    <w:p w14:paraId="1AD73620" w14:textId="5951A54E" w:rsidR="00F37A4A" w:rsidRDefault="00F37A4A" w:rsidP="00033EDE">
      <w:pPr>
        <w:pStyle w:val="ListParagraph"/>
        <w:numPr>
          <w:ilvl w:val="0"/>
          <w:numId w:val="27"/>
        </w:numPr>
        <w:rPr>
          <w:sz w:val="24"/>
          <w:szCs w:val="24"/>
        </w:rPr>
      </w:pPr>
      <w:r>
        <w:rPr>
          <w:sz w:val="24"/>
          <w:szCs w:val="24"/>
        </w:rPr>
        <w:t>In September 2023 the Commission issued a notice of proposed rulemaking.</w:t>
      </w:r>
    </w:p>
    <w:p w14:paraId="3ADE5BE7" w14:textId="57017C85" w:rsidR="00613CAC" w:rsidRDefault="00F37A4A" w:rsidP="00613CAC">
      <w:pPr>
        <w:pStyle w:val="ListParagraph"/>
        <w:numPr>
          <w:ilvl w:val="0"/>
          <w:numId w:val="27"/>
        </w:numPr>
        <w:rPr>
          <w:sz w:val="24"/>
          <w:szCs w:val="24"/>
        </w:rPr>
      </w:pPr>
      <w:r>
        <w:rPr>
          <w:sz w:val="24"/>
          <w:szCs w:val="24"/>
        </w:rPr>
        <w:t>In November 2023 the Commission formally amended its rules to repeal provisions related to the regulation of Class C motor carriers.</w:t>
      </w:r>
    </w:p>
    <w:p w14:paraId="42D19824" w14:textId="77777777" w:rsidR="00F31B4D" w:rsidRDefault="00F31B4D" w:rsidP="00F31B4D">
      <w:pPr>
        <w:pStyle w:val="ListParagraph"/>
        <w:rPr>
          <w:sz w:val="24"/>
          <w:szCs w:val="24"/>
        </w:rPr>
      </w:pPr>
    </w:p>
    <w:p w14:paraId="2A8AAF25" w14:textId="77777777" w:rsidR="00613CAC" w:rsidRDefault="00613CAC" w:rsidP="00613CAC">
      <w:pPr>
        <w:pStyle w:val="Heading2"/>
      </w:pPr>
      <w:r>
        <w:t>House Bill 55 Implementation: EV Charging Tax – Dockets 2023.09.083 &amp; 2023.08.077</w:t>
      </w:r>
    </w:p>
    <w:p w14:paraId="202C3D9E" w14:textId="632BB7D0" w:rsidR="00613CAC" w:rsidRPr="00613CAC" w:rsidRDefault="00613CAC" w:rsidP="00613CAC">
      <w:pPr>
        <w:pStyle w:val="ListParagraph"/>
        <w:numPr>
          <w:ilvl w:val="0"/>
          <w:numId w:val="27"/>
        </w:numPr>
        <w:rPr>
          <w:sz w:val="32"/>
          <w:szCs w:val="32"/>
        </w:rPr>
      </w:pPr>
      <w:r>
        <w:rPr>
          <w:sz w:val="24"/>
          <w:szCs w:val="24"/>
        </w:rPr>
        <w:t xml:space="preserve">HB 55, passed by the 2023 Legislature, </w:t>
      </w:r>
      <w:r w:rsidRPr="00613CAC">
        <w:rPr>
          <w:sz w:val="24"/>
          <w:szCs w:val="24"/>
        </w:rPr>
        <w:t>provides for the establishment of a tax on electric vehicle (EV) charging stations to be assessed by public utilities on the power sold to public charging stations effective July 1, 2023. Additionally, the legislation outlines select metering requirements for EV charging stations as well as provisions for the remittance of the tax funds</w:t>
      </w:r>
      <w:r>
        <w:rPr>
          <w:sz w:val="24"/>
          <w:szCs w:val="24"/>
        </w:rPr>
        <w:t>.</w:t>
      </w:r>
    </w:p>
    <w:p w14:paraId="2FF23955" w14:textId="30ED3F96" w:rsidR="00613CAC" w:rsidRPr="006B28D5" w:rsidRDefault="00613CAC" w:rsidP="00613CAC">
      <w:pPr>
        <w:pStyle w:val="ListParagraph"/>
        <w:numPr>
          <w:ilvl w:val="0"/>
          <w:numId w:val="27"/>
        </w:numPr>
        <w:rPr>
          <w:sz w:val="32"/>
          <w:szCs w:val="32"/>
        </w:rPr>
      </w:pPr>
      <w:r>
        <w:rPr>
          <w:sz w:val="24"/>
          <w:szCs w:val="24"/>
        </w:rPr>
        <w:t xml:space="preserve">In Dockets 2023.09.083 (Montana-Dakota Utilities) and 2023.08.077 (NorthWestern Energy) the Commission approved tariffs that allow MDU and NorthWestern to charge the statutory </w:t>
      </w:r>
      <w:r w:rsidR="006B28D5">
        <w:rPr>
          <w:sz w:val="24"/>
          <w:szCs w:val="24"/>
        </w:rPr>
        <w:t>$0.03 per kWh tax on electricity used the charge EV batteries at public charging stations.</w:t>
      </w:r>
    </w:p>
    <w:p w14:paraId="470E369D" w14:textId="7248F764" w:rsidR="006B28D5" w:rsidRPr="006B28D5" w:rsidRDefault="006B28D5" w:rsidP="00613CAC">
      <w:pPr>
        <w:pStyle w:val="ListParagraph"/>
        <w:numPr>
          <w:ilvl w:val="0"/>
          <w:numId w:val="27"/>
        </w:numPr>
        <w:rPr>
          <w:sz w:val="32"/>
          <w:szCs w:val="32"/>
        </w:rPr>
      </w:pPr>
      <w:r>
        <w:rPr>
          <w:sz w:val="24"/>
          <w:szCs w:val="24"/>
        </w:rPr>
        <w:t xml:space="preserve">HB 55 is explicit that the taxes collected through the tax are not subject to review or approval by the Commission. </w:t>
      </w:r>
    </w:p>
    <w:p w14:paraId="18ADEE9F" w14:textId="29A3AB7F" w:rsidR="006B28D5" w:rsidRPr="00613CAC" w:rsidRDefault="006B28D5" w:rsidP="00613CAC">
      <w:pPr>
        <w:pStyle w:val="ListParagraph"/>
        <w:numPr>
          <w:ilvl w:val="0"/>
          <w:numId w:val="27"/>
        </w:numPr>
        <w:rPr>
          <w:sz w:val="32"/>
          <w:szCs w:val="32"/>
        </w:rPr>
      </w:pPr>
      <w:r>
        <w:rPr>
          <w:sz w:val="24"/>
          <w:szCs w:val="24"/>
        </w:rPr>
        <w:t>The Commission provided public notice of the receipt of the utilities’ applications and an opportunity to comment. No comments were received</w:t>
      </w:r>
      <w:r w:rsidR="00B349C8">
        <w:rPr>
          <w:sz w:val="24"/>
          <w:szCs w:val="24"/>
        </w:rPr>
        <w:t>, and the utilities’ proposed tariffs were approved</w:t>
      </w:r>
      <w:r>
        <w:rPr>
          <w:sz w:val="24"/>
          <w:szCs w:val="24"/>
        </w:rPr>
        <w:t>.</w:t>
      </w:r>
    </w:p>
    <w:p w14:paraId="6BC00B92" w14:textId="77777777" w:rsidR="00613CAC" w:rsidRPr="00613CAC" w:rsidRDefault="00613CAC" w:rsidP="00613CAC">
      <w:pPr>
        <w:rPr>
          <w:sz w:val="24"/>
          <w:szCs w:val="24"/>
        </w:rPr>
      </w:pPr>
    </w:p>
    <w:sectPr w:rsidR="00613CAC" w:rsidRPr="00613CAC" w:rsidSect="009D2A07">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A63A0" w14:textId="77777777" w:rsidR="00A35547" w:rsidRDefault="00A35547" w:rsidP="009D2A07">
      <w:pPr>
        <w:spacing w:after="0" w:line="240" w:lineRule="auto"/>
      </w:pPr>
      <w:r>
        <w:separator/>
      </w:r>
    </w:p>
  </w:endnote>
  <w:endnote w:type="continuationSeparator" w:id="0">
    <w:p w14:paraId="506F140E" w14:textId="77777777" w:rsidR="00A35547" w:rsidRDefault="00A35547" w:rsidP="009D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885670"/>
      <w:docPartObj>
        <w:docPartGallery w:val="Page Numbers (Bottom of Page)"/>
        <w:docPartUnique/>
      </w:docPartObj>
    </w:sdtPr>
    <w:sdtEndPr>
      <w:rPr>
        <w:noProof/>
      </w:rPr>
    </w:sdtEndPr>
    <w:sdtContent>
      <w:p w14:paraId="2E5607F4" w14:textId="6FF27C70" w:rsidR="009D2A07" w:rsidRDefault="009D2A07">
        <w:pPr>
          <w:pStyle w:val="Footer"/>
          <w:jc w:val="center"/>
        </w:pPr>
        <w:r>
          <w:fldChar w:fldCharType="begin"/>
        </w:r>
        <w:r>
          <w:instrText xml:space="preserve"> PAGE   \* MERGEFORMAT </w:instrText>
        </w:r>
        <w:r>
          <w:fldChar w:fldCharType="separate"/>
        </w:r>
        <w:r w:rsidR="00F73386">
          <w:rPr>
            <w:noProof/>
          </w:rPr>
          <w:t>5</w:t>
        </w:r>
        <w:r>
          <w:rPr>
            <w:noProof/>
          </w:rPr>
          <w:fldChar w:fldCharType="end"/>
        </w:r>
      </w:p>
    </w:sdtContent>
  </w:sdt>
  <w:p w14:paraId="5828A745" w14:textId="77777777" w:rsidR="009D2A07" w:rsidRDefault="009D2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2753" w14:textId="77777777" w:rsidR="00A35547" w:rsidRDefault="00A35547" w:rsidP="009D2A07">
      <w:pPr>
        <w:spacing w:after="0" w:line="240" w:lineRule="auto"/>
      </w:pPr>
      <w:r>
        <w:separator/>
      </w:r>
    </w:p>
  </w:footnote>
  <w:footnote w:type="continuationSeparator" w:id="0">
    <w:p w14:paraId="5C5FFDB9" w14:textId="77777777" w:rsidR="00A35547" w:rsidRDefault="00A35547" w:rsidP="009D2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061"/>
    <w:multiLevelType w:val="hybridMultilevel"/>
    <w:tmpl w:val="2EFC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50A0"/>
    <w:multiLevelType w:val="hybridMultilevel"/>
    <w:tmpl w:val="9784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012D"/>
    <w:multiLevelType w:val="hybridMultilevel"/>
    <w:tmpl w:val="7814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73A8"/>
    <w:multiLevelType w:val="hybridMultilevel"/>
    <w:tmpl w:val="AA16B5D2"/>
    <w:lvl w:ilvl="0" w:tplc="EDD0FD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911C6"/>
    <w:multiLevelType w:val="hybridMultilevel"/>
    <w:tmpl w:val="17904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090B7E"/>
    <w:multiLevelType w:val="hybridMultilevel"/>
    <w:tmpl w:val="3380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B434F"/>
    <w:multiLevelType w:val="hybridMultilevel"/>
    <w:tmpl w:val="BD5AD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A6E33"/>
    <w:multiLevelType w:val="hybridMultilevel"/>
    <w:tmpl w:val="3EAE01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7E040E"/>
    <w:multiLevelType w:val="hybridMultilevel"/>
    <w:tmpl w:val="9C46BF42"/>
    <w:lvl w:ilvl="0" w:tplc="EDD0FD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00F29"/>
    <w:multiLevelType w:val="hybridMultilevel"/>
    <w:tmpl w:val="8A56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745FD"/>
    <w:multiLevelType w:val="hybridMultilevel"/>
    <w:tmpl w:val="87F2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B69D1"/>
    <w:multiLevelType w:val="hybridMultilevel"/>
    <w:tmpl w:val="9170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F69BF"/>
    <w:multiLevelType w:val="hybridMultilevel"/>
    <w:tmpl w:val="3C142668"/>
    <w:lvl w:ilvl="0" w:tplc="D018BAD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E243A"/>
    <w:multiLevelType w:val="hybridMultilevel"/>
    <w:tmpl w:val="5250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40B4C"/>
    <w:multiLevelType w:val="hybridMultilevel"/>
    <w:tmpl w:val="07C67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9972FA"/>
    <w:multiLevelType w:val="hybridMultilevel"/>
    <w:tmpl w:val="79EC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349B9"/>
    <w:multiLevelType w:val="hybridMultilevel"/>
    <w:tmpl w:val="EC54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97A27"/>
    <w:multiLevelType w:val="hybridMultilevel"/>
    <w:tmpl w:val="1914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47F8D"/>
    <w:multiLevelType w:val="hybridMultilevel"/>
    <w:tmpl w:val="37BA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63211"/>
    <w:multiLevelType w:val="hybridMultilevel"/>
    <w:tmpl w:val="CB74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00F8B"/>
    <w:multiLevelType w:val="hybridMultilevel"/>
    <w:tmpl w:val="DE50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870D5"/>
    <w:multiLevelType w:val="hybridMultilevel"/>
    <w:tmpl w:val="DBD87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0411AB"/>
    <w:multiLevelType w:val="hybridMultilevel"/>
    <w:tmpl w:val="0644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F35A87"/>
    <w:multiLevelType w:val="hybridMultilevel"/>
    <w:tmpl w:val="B8622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25EA2"/>
    <w:multiLevelType w:val="hybridMultilevel"/>
    <w:tmpl w:val="69B0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47CE6"/>
    <w:multiLevelType w:val="hybridMultilevel"/>
    <w:tmpl w:val="95B0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55056"/>
    <w:multiLevelType w:val="hybridMultilevel"/>
    <w:tmpl w:val="8772C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F705AE"/>
    <w:multiLevelType w:val="hybridMultilevel"/>
    <w:tmpl w:val="C93C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DF18FC"/>
    <w:multiLevelType w:val="hybridMultilevel"/>
    <w:tmpl w:val="59AC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A6D23"/>
    <w:multiLevelType w:val="hybridMultilevel"/>
    <w:tmpl w:val="4FE8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C17AE"/>
    <w:multiLevelType w:val="hybridMultilevel"/>
    <w:tmpl w:val="4E1AA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70447246">
    <w:abstractNumId w:val="14"/>
  </w:num>
  <w:num w:numId="2" w16cid:durableId="1324431985">
    <w:abstractNumId w:val="5"/>
  </w:num>
  <w:num w:numId="3" w16cid:durableId="1499926160">
    <w:abstractNumId w:val="29"/>
  </w:num>
  <w:num w:numId="4" w16cid:durableId="1231650303">
    <w:abstractNumId w:val="11"/>
  </w:num>
  <w:num w:numId="5" w16cid:durableId="716854492">
    <w:abstractNumId w:val="1"/>
  </w:num>
  <w:num w:numId="6" w16cid:durableId="1330525500">
    <w:abstractNumId w:val="15"/>
  </w:num>
  <w:num w:numId="7" w16cid:durableId="260257315">
    <w:abstractNumId w:val="28"/>
  </w:num>
  <w:num w:numId="8" w16cid:durableId="15271893">
    <w:abstractNumId w:val="16"/>
  </w:num>
  <w:num w:numId="9" w16cid:durableId="1832522772">
    <w:abstractNumId w:val="25"/>
  </w:num>
  <w:num w:numId="10" w16cid:durableId="480074234">
    <w:abstractNumId w:val="2"/>
  </w:num>
  <w:num w:numId="11" w16cid:durableId="2079938420">
    <w:abstractNumId w:val="19"/>
  </w:num>
  <w:num w:numId="12" w16cid:durableId="1105006265">
    <w:abstractNumId w:val="20"/>
  </w:num>
  <w:num w:numId="13" w16cid:durableId="292713186">
    <w:abstractNumId w:val="30"/>
  </w:num>
  <w:num w:numId="14" w16cid:durableId="227614978">
    <w:abstractNumId w:val="24"/>
  </w:num>
  <w:num w:numId="15" w16cid:durableId="2053576909">
    <w:abstractNumId w:val="8"/>
  </w:num>
  <w:num w:numId="16" w16cid:durableId="662973332">
    <w:abstractNumId w:val="3"/>
  </w:num>
  <w:num w:numId="17" w16cid:durableId="1481776257">
    <w:abstractNumId w:val="7"/>
  </w:num>
  <w:num w:numId="18" w16cid:durableId="1959334786">
    <w:abstractNumId w:val="0"/>
  </w:num>
  <w:num w:numId="19" w16cid:durableId="1502085797">
    <w:abstractNumId w:val="9"/>
  </w:num>
  <w:num w:numId="20" w16cid:durableId="1967198934">
    <w:abstractNumId w:val="22"/>
  </w:num>
  <w:num w:numId="21" w16cid:durableId="1603101093">
    <w:abstractNumId w:val="13"/>
  </w:num>
  <w:num w:numId="22" w16cid:durableId="1265964267">
    <w:abstractNumId w:val="17"/>
  </w:num>
  <w:num w:numId="23" w16cid:durableId="702172193">
    <w:abstractNumId w:val="23"/>
  </w:num>
  <w:num w:numId="24" w16cid:durableId="2123567996">
    <w:abstractNumId w:val="18"/>
  </w:num>
  <w:num w:numId="25" w16cid:durableId="250429073">
    <w:abstractNumId w:val="27"/>
  </w:num>
  <w:num w:numId="26" w16cid:durableId="579363248">
    <w:abstractNumId w:val="21"/>
  </w:num>
  <w:num w:numId="27" w16cid:durableId="274756630">
    <w:abstractNumId w:val="12"/>
  </w:num>
  <w:num w:numId="28" w16cid:durableId="319696689">
    <w:abstractNumId w:val="10"/>
  </w:num>
  <w:num w:numId="29" w16cid:durableId="31812005">
    <w:abstractNumId w:val="6"/>
  </w:num>
  <w:num w:numId="30" w16cid:durableId="827356720">
    <w:abstractNumId w:val="26"/>
  </w:num>
  <w:num w:numId="31" w16cid:durableId="192082506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283"/>
    <w:rsid w:val="000001BD"/>
    <w:rsid w:val="00003550"/>
    <w:rsid w:val="00003615"/>
    <w:rsid w:val="00005FC5"/>
    <w:rsid w:val="00011E2E"/>
    <w:rsid w:val="00021921"/>
    <w:rsid w:val="000239E3"/>
    <w:rsid w:val="00027EA6"/>
    <w:rsid w:val="00030B5F"/>
    <w:rsid w:val="0003338C"/>
    <w:rsid w:val="00033984"/>
    <w:rsid w:val="00033EDE"/>
    <w:rsid w:val="00045F6A"/>
    <w:rsid w:val="000465B9"/>
    <w:rsid w:val="00055D81"/>
    <w:rsid w:val="00061DE4"/>
    <w:rsid w:val="00065FBF"/>
    <w:rsid w:val="000663F5"/>
    <w:rsid w:val="00066FE7"/>
    <w:rsid w:val="000709EF"/>
    <w:rsid w:val="00077F86"/>
    <w:rsid w:val="00085468"/>
    <w:rsid w:val="0009020D"/>
    <w:rsid w:val="00090FAA"/>
    <w:rsid w:val="000A1C76"/>
    <w:rsid w:val="000B229A"/>
    <w:rsid w:val="000C38E9"/>
    <w:rsid w:val="000C47F9"/>
    <w:rsid w:val="000C4897"/>
    <w:rsid w:val="000D0D81"/>
    <w:rsid w:val="000D3791"/>
    <w:rsid w:val="000E27E7"/>
    <w:rsid w:val="000E2DA9"/>
    <w:rsid w:val="000E603E"/>
    <w:rsid w:val="000F1924"/>
    <w:rsid w:val="000F2068"/>
    <w:rsid w:val="000F2931"/>
    <w:rsid w:val="000F426C"/>
    <w:rsid w:val="000F51EF"/>
    <w:rsid w:val="00111F50"/>
    <w:rsid w:val="001166DD"/>
    <w:rsid w:val="0012111C"/>
    <w:rsid w:val="00124CAD"/>
    <w:rsid w:val="00125C6B"/>
    <w:rsid w:val="00126411"/>
    <w:rsid w:val="00127DEB"/>
    <w:rsid w:val="0013067E"/>
    <w:rsid w:val="00131B1D"/>
    <w:rsid w:val="001337BF"/>
    <w:rsid w:val="00133FA5"/>
    <w:rsid w:val="00141640"/>
    <w:rsid w:val="00142CC9"/>
    <w:rsid w:val="00145D99"/>
    <w:rsid w:val="00146F1E"/>
    <w:rsid w:val="00150D50"/>
    <w:rsid w:val="0015178D"/>
    <w:rsid w:val="0015293B"/>
    <w:rsid w:val="00157187"/>
    <w:rsid w:val="0016212A"/>
    <w:rsid w:val="0017101C"/>
    <w:rsid w:val="00173350"/>
    <w:rsid w:val="00174CF0"/>
    <w:rsid w:val="00175CBA"/>
    <w:rsid w:val="00183783"/>
    <w:rsid w:val="001840D9"/>
    <w:rsid w:val="001876D1"/>
    <w:rsid w:val="0019021A"/>
    <w:rsid w:val="001903FB"/>
    <w:rsid w:val="00190A14"/>
    <w:rsid w:val="001A25B5"/>
    <w:rsid w:val="001A52E1"/>
    <w:rsid w:val="001A5FD2"/>
    <w:rsid w:val="001A6A29"/>
    <w:rsid w:val="001B072B"/>
    <w:rsid w:val="001B12C1"/>
    <w:rsid w:val="001B15D8"/>
    <w:rsid w:val="001B1D4C"/>
    <w:rsid w:val="001B1E85"/>
    <w:rsid w:val="001B4A8C"/>
    <w:rsid w:val="001C7CB3"/>
    <w:rsid w:val="001D2E94"/>
    <w:rsid w:val="001E2EE7"/>
    <w:rsid w:val="001E6194"/>
    <w:rsid w:val="001E70E5"/>
    <w:rsid w:val="001F642A"/>
    <w:rsid w:val="001F76C1"/>
    <w:rsid w:val="00215EE1"/>
    <w:rsid w:val="00220450"/>
    <w:rsid w:val="00222293"/>
    <w:rsid w:val="002263DA"/>
    <w:rsid w:val="00233837"/>
    <w:rsid w:val="002346AF"/>
    <w:rsid w:val="002349E3"/>
    <w:rsid w:val="00235BAF"/>
    <w:rsid w:val="00236E5C"/>
    <w:rsid w:val="002423D2"/>
    <w:rsid w:val="0024512B"/>
    <w:rsid w:val="0025252D"/>
    <w:rsid w:val="00252E78"/>
    <w:rsid w:val="00253E0F"/>
    <w:rsid w:val="00254713"/>
    <w:rsid w:val="00254E9F"/>
    <w:rsid w:val="002609D5"/>
    <w:rsid w:val="002609DE"/>
    <w:rsid w:val="00260B2A"/>
    <w:rsid w:val="00267BBC"/>
    <w:rsid w:val="00272431"/>
    <w:rsid w:val="0027505F"/>
    <w:rsid w:val="00275A1C"/>
    <w:rsid w:val="00277708"/>
    <w:rsid w:val="00277BB6"/>
    <w:rsid w:val="00283853"/>
    <w:rsid w:val="00291092"/>
    <w:rsid w:val="002962FE"/>
    <w:rsid w:val="00296507"/>
    <w:rsid w:val="002A0DCE"/>
    <w:rsid w:val="002A2CF0"/>
    <w:rsid w:val="002B19E1"/>
    <w:rsid w:val="002B572C"/>
    <w:rsid w:val="002B5979"/>
    <w:rsid w:val="002B6BFB"/>
    <w:rsid w:val="002C079F"/>
    <w:rsid w:val="002C3432"/>
    <w:rsid w:val="002C48D8"/>
    <w:rsid w:val="002C63CB"/>
    <w:rsid w:val="002C7C6B"/>
    <w:rsid w:val="002D2DE3"/>
    <w:rsid w:val="002D46E6"/>
    <w:rsid w:val="002D6E72"/>
    <w:rsid w:val="002D782A"/>
    <w:rsid w:val="002D7893"/>
    <w:rsid w:val="002E12B4"/>
    <w:rsid w:val="002E38A4"/>
    <w:rsid w:val="002E7C46"/>
    <w:rsid w:val="002F0150"/>
    <w:rsid w:val="002F1BD1"/>
    <w:rsid w:val="002F39F4"/>
    <w:rsid w:val="002F3F2E"/>
    <w:rsid w:val="00300A50"/>
    <w:rsid w:val="00300D53"/>
    <w:rsid w:val="00313ECA"/>
    <w:rsid w:val="00316478"/>
    <w:rsid w:val="003175C6"/>
    <w:rsid w:val="00317E74"/>
    <w:rsid w:val="0032458F"/>
    <w:rsid w:val="0032605C"/>
    <w:rsid w:val="00327426"/>
    <w:rsid w:val="00327B87"/>
    <w:rsid w:val="00334EDE"/>
    <w:rsid w:val="0033617A"/>
    <w:rsid w:val="00337628"/>
    <w:rsid w:val="00337E4F"/>
    <w:rsid w:val="00341EDC"/>
    <w:rsid w:val="00342802"/>
    <w:rsid w:val="00361426"/>
    <w:rsid w:val="003643AC"/>
    <w:rsid w:val="0036785B"/>
    <w:rsid w:val="003713D3"/>
    <w:rsid w:val="0037427D"/>
    <w:rsid w:val="003762DC"/>
    <w:rsid w:val="00384250"/>
    <w:rsid w:val="003910BC"/>
    <w:rsid w:val="003931E6"/>
    <w:rsid w:val="003A094D"/>
    <w:rsid w:val="003A2EA9"/>
    <w:rsid w:val="003A45D8"/>
    <w:rsid w:val="003B45A9"/>
    <w:rsid w:val="003C240E"/>
    <w:rsid w:val="003C422C"/>
    <w:rsid w:val="003C6E57"/>
    <w:rsid w:val="003D17B1"/>
    <w:rsid w:val="003D710D"/>
    <w:rsid w:val="003D71BB"/>
    <w:rsid w:val="003D7516"/>
    <w:rsid w:val="003E217F"/>
    <w:rsid w:val="003E6FF7"/>
    <w:rsid w:val="003F04B4"/>
    <w:rsid w:val="003F5584"/>
    <w:rsid w:val="003F6FC9"/>
    <w:rsid w:val="003F7830"/>
    <w:rsid w:val="00400ECB"/>
    <w:rsid w:val="004024A7"/>
    <w:rsid w:val="00404D1C"/>
    <w:rsid w:val="00412926"/>
    <w:rsid w:val="00420AD6"/>
    <w:rsid w:val="00421D03"/>
    <w:rsid w:val="00423F3C"/>
    <w:rsid w:val="00433550"/>
    <w:rsid w:val="00445532"/>
    <w:rsid w:val="0044690D"/>
    <w:rsid w:val="00454C4C"/>
    <w:rsid w:val="00460746"/>
    <w:rsid w:val="0046215E"/>
    <w:rsid w:val="004630A1"/>
    <w:rsid w:val="004651AD"/>
    <w:rsid w:val="0046550D"/>
    <w:rsid w:val="004707CB"/>
    <w:rsid w:val="00472CAF"/>
    <w:rsid w:val="00487B53"/>
    <w:rsid w:val="00490141"/>
    <w:rsid w:val="0049704B"/>
    <w:rsid w:val="004B25DC"/>
    <w:rsid w:val="004B2698"/>
    <w:rsid w:val="004B5D11"/>
    <w:rsid w:val="004B644C"/>
    <w:rsid w:val="004C5AD6"/>
    <w:rsid w:val="004D07B3"/>
    <w:rsid w:val="004D3763"/>
    <w:rsid w:val="004D4B20"/>
    <w:rsid w:val="004E1D0E"/>
    <w:rsid w:val="004E223E"/>
    <w:rsid w:val="004E5F7B"/>
    <w:rsid w:val="004F49AB"/>
    <w:rsid w:val="00501268"/>
    <w:rsid w:val="00501384"/>
    <w:rsid w:val="00501F14"/>
    <w:rsid w:val="00503240"/>
    <w:rsid w:val="005134E4"/>
    <w:rsid w:val="00513603"/>
    <w:rsid w:val="005225AC"/>
    <w:rsid w:val="005300C6"/>
    <w:rsid w:val="00536C52"/>
    <w:rsid w:val="00536E22"/>
    <w:rsid w:val="00540C7A"/>
    <w:rsid w:val="00550283"/>
    <w:rsid w:val="00560D38"/>
    <w:rsid w:val="00566842"/>
    <w:rsid w:val="005678E0"/>
    <w:rsid w:val="0057031D"/>
    <w:rsid w:val="005733CA"/>
    <w:rsid w:val="00581DF7"/>
    <w:rsid w:val="0058317D"/>
    <w:rsid w:val="00584536"/>
    <w:rsid w:val="00595D03"/>
    <w:rsid w:val="0059672B"/>
    <w:rsid w:val="005A3D5B"/>
    <w:rsid w:val="005A3D7E"/>
    <w:rsid w:val="005A4180"/>
    <w:rsid w:val="005B0443"/>
    <w:rsid w:val="005B2EF1"/>
    <w:rsid w:val="005B6E5E"/>
    <w:rsid w:val="005D12B8"/>
    <w:rsid w:val="005D5453"/>
    <w:rsid w:val="005D5F7B"/>
    <w:rsid w:val="005D63ED"/>
    <w:rsid w:val="005E5BC1"/>
    <w:rsid w:val="005F4001"/>
    <w:rsid w:val="005F62C3"/>
    <w:rsid w:val="005F6F29"/>
    <w:rsid w:val="0060177A"/>
    <w:rsid w:val="0060224A"/>
    <w:rsid w:val="00605398"/>
    <w:rsid w:val="00613CAC"/>
    <w:rsid w:val="00627E71"/>
    <w:rsid w:val="00630DBB"/>
    <w:rsid w:val="006321F2"/>
    <w:rsid w:val="00633870"/>
    <w:rsid w:val="00644294"/>
    <w:rsid w:val="00652368"/>
    <w:rsid w:val="00656478"/>
    <w:rsid w:val="00661D4A"/>
    <w:rsid w:val="00664C02"/>
    <w:rsid w:val="0066725D"/>
    <w:rsid w:val="00671E17"/>
    <w:rsid w:val="00674612"/>
    <w:rsid w:val="006778FB"/>
    <w:rsid w:val="00682644"/>
    <w:rsid w:val="00685252"/>
    <w:rsid w:val="00685462"/>
    <w:rsid w:val="00687A52"/>
    <w:rsid w:val="006A2126"/>
    <w:rsid w:val="006B28D5"/>
    <w:rsid w:val="006B5E4B"/>
    <w:rsid w:val="006C7A3C"/>
    <w:rsid w:val="006D1011"/>
    <w:rsid w:val="006D35E1"/>
    <w:rsid w:val="006D745C"/>
    <w:rsid w:val="006E1820"/>
    <w:rsid w:val="006E1B86"/>
    <w:rsid w:val="006E298F"/>
    <w:rsid w:val="006E5FD1"/>
    <w:rsid w:val="006F4BD6"/>
    <w:rsid w:val="006F5647"/>
    <w:rsid w:val="0070091C"/>
    <w:rsid w:val="00717915"/>
    <w:rsid w:val="007350B9"/>
    <w:rsid w:val="00735F23"/>
    <w:rsid w:val="00737ED1"/>
    <w:rsid w:val="007407DC"/>
    <w:rsid w:val="00743374"/>
    <w:rsid w:val="00747EF7"/>
    <w:rsid w:val="00752C72"/>
    <w:rsid w:val="00757494"/>
    <w:rsid w:val="007579A2"/>
    <w:rsid w:val="0076343A"/>
    <w:rsid w:val="00763701"/>
    <w:rsid w:val="00764455"/>
    <w:rsid w:val="007658B9"/>
    <w:rsid w:val="00766A7B"/>
    <w:rsid w:val="007807CE"/>
    <w:rsid w:val="007834FB"/>
    <w:rsid w:val="00795039"/>
    <w:rsid w:val="007956CE"/>
    <w:rsid w:val="00795B5A"/>
    <w:rsid w:val="007A6079"/>
    <w:rsid w:val="007B7DCB"/>
    <w:rsid w:val="007C360D"/>
    <w:rsid w:val="007C3A57"/>
    <w:rsid w:val="007C55EB"/>
    <w:rsid w:val="007E35F5"/>
    <w:rsid w:val="007E37BE"/>
    <w:rsid w:val="007E5F38"/>
    <w:rsid w:val="007E7F1A"/>
    <w:rsid w:val="007F2B0F"/>
    <w:rsid w:val="007F3C77"/>
    <w:rsid w:val="007F434D"/>
    <w:rsid w:val="00803819"/>
    <w:rsid w:val="008053D3"/>
    <w:rsid w:val="00805A54"/>
    <w:rsid w:val="0080776F"/>
    <w:rsid w:val="00810C08"/>
    <w:rsid w:val="00812A21"/>
    <w:rsid w:val="008133E0"/>
    <w:rsid w:val="008170E8"/>
    <w:rsid w:val="00823505"/>
    <w:rsid w:val="0085005B"/>
    <w:rsid w:val="00850066"/>
    <w:rsid w:val="008508E6"/>
    <w:rsid w:val="00852560"/>
    <w:rsid w:val="00863FAD"/>
    <w:rsid w:val="008640FC"/>
    <w:rsid w:val="00865CF3"/>
    <w:rsid w:val="0086619C"/>
    <w:rsid w:val="008728B9"/>
    <w:rsid w:val="008759F5"/>
    <w:rsid w:val="00876D14"/>
    <w:rsid w:val="00883D60"/>
    <w:rsid w:val="00886FB0"/>
    <w:rsid w:val="00890A9A"/>
    <w:rsid w:val="00893D7B"/>
    <w:rsid w:val="008A2EE6"/>
    <w:rsid w:val="008A5788"/>
    <w:rsid w:val="008B3F17"/>
    <w:rsid w:val="008B7096"/>
    <w:rsid w:val="008D57B7"/>
    <w:rsid w:val="008D5EB6"/>
    <w:rsid w:val="008E2455"/>
    <w:rsid w:val="008F06A0"/>
    <w:rsid w:val="008F1514"/>
    <w:rsid w:val="008F72D8"/>
    <w:rsid w:val="008F73F0"/>
    <w:rsid w:val="0090196B"/>
    <w:rsid w:val="00901DEE"/>
    <w:rsid w:val="00902323"/>
    <w:rsid w:val="0090320D"/>
    <w:rsid w:val="00905886"/>
    <w:rsid w:val="00905C35"/>
    <w:rsid w:val="00911240"/>
    <w:rsid w:val="0091277F"/>
    <w:rsid w:val="009145C2"/>
    <w:rsid w:val="009224B5"/>
    <w:rsid w:val="00923085"/>
    <w:rsid w:val="00923900"/>
    <w:rsid w:val="00926A73"/>
    <w:rsid w:val="00926B76"/>
    <w:rsid w:val="009309D2"/>
    <w:rsid w:val="009348D2"/>
    <w:rsid w:val="0093693D"/>
    <w:rsid w:val="00940010"/>
    <w:rsid w:val="00943520"/>
    <w:rsid w:val="00963CC5"/>
    <w:rsid w:val="00965EA1"/>
    <w:rsid w:val="00967C9B"/>
    <w:rsid w:val="00970ABD"/>
    <w:rsid w:val="00972BE1"/>
    <w:rsid w:val="009752EE"/>
    <w:rsid w:val="00982463"/>
    <w:rsid w:val="00984C99"/>
    <w:rsid w:val="009851A3"/>
    <w:rsid w:val="009918C3"/>
    <w:rsid w:val="00992829"/>
    <w:rsid w:val="00996508"/>
    <w:rsid w:val="00997EBA"/>
    <w:rsid w:val="00997F1A"/>
    <w:rsid w:val="009A1AB4"/>
    <w:rsid w:val="009A3E38"/>
    <w:rsid w:val="009A4533"/>
    <w:rsid w:val="009B5572"/>
    <w:rsid w:val="009B5CBB"/>
    <w:rsid w:val="009C0B29"/>
    <w:rsid w:val="009C208C"/>
    <w:rsid w:val="009C2D38"/>
    <w:rsid w:val="009C532C"/>
    <w:rsid w:val="009C6DBB"/>
    <w:rsid w:val="009D287A"/>
    <w:rsid w:val="009D2A07"/>
    <w:rsid w:val="009D3E67"/>
    <w:rsid w:val="009D44A9"/>
    <w:rsid w:val="009D4B54"/>
    <w:rsid w:val="009D5755"/>
    <w:rsid w:val="009E3200"/>
    <w:rsid w:val="009F260E"/>
    <w:rsid w:val="009F7F4A"/>
    <w:rsid w:val="00A012ED"/>
    <w:rsid w:val="00A01822"/>
    <w:rsid w:val="00A0578A"/>
    <w:rsid w:val="00A05A2C"/>
    <w:rsid w:val="00A06EB8"/>
    <w:rsid w:val="00A105D0"/>
    <w:rsid w:val="00A17DFA"/>
    <w:rsid w:val="00A2333A"/>
    <w:rsid w:val="00A27D44"/>
    <w:rsid w:val="00A30798"/>
    <w:rsid w:val="00A318E1"/>
    <w:rsid w:val="00A329FC"/>
    <w:rsid w:val="00A33FFC"/>
    <w:rsid w:val="00A35547"/>
    <w:rsid w:val="00A35B76"/>
    <w:rsid w:val="00A37377"/>
    <w:rsid w:val="00A377B5"/>
    <w:rsid w:val="00A3793C"/>
    <w:rsid w:val="00A44317"/>
    <w:rsid w:val="00A5545C"/>
    <w:rsid w:val="00A623B2"/>
    <w:rsid w:val="00A63CAB"/>
    <w:rsid w:val="00A6479F"/>
    <w:rsid w:val="00A66937"/>
    <w:rsid w:val="00A67192"/>
    <w:rsid w:val="00A6767A"/>
    <w:rsid w:val="00A84402"/>
    <w:rsid w:val="00A91CA5"/>
    <w:rsid w:val="00A9602E"/>
    <w:rsid w:val="00AB0455"/>
    <w:rsid w:val="00AB7478"/>
    <w:rsid w:val="00AC43FD"/>
    <w:rsid w:val="00AC5040"/>
    <w:rsid w:val="00AD1A70"/>
    <w:rsid w:val="00AD27F7"/>
    <w:rsid w:val="00AD2A0C"/>
    <w:rsid w:val="00AE1EE3"/>
    <w:rsid w:val="00AE45B2"/>
    <w:rsid w:val="00AE6EF8"/>
    <w:rsid w:val="00AF0FDC"/>
    <w:rsid w:val="00AF2ED8"/>
    <w:rsid w:val="00AF321B"/>
    <w:rsid w:val="00B02289"/>
    <w:rsid w:val="00B025A4"/>
    <w:rsid w:val="00B04FB7"/>
    <w:rsid w:val="00B069D7"/>
    <w:rsid w:val="00B1042B"/>
    <w:rsid w:val="00B10975"/>
    <w:rsid w:val="00B116C6"/>
    <w:rsid w:val="00B15F8C"/>
    <w:rsid w:val="00B17118"/>
    <w:rsid w:val="00B17823"/>
    <w:rsid w:val="00B235C2"/>
    <w:rsid w:val="00B31E9C"/>
    <w:rsid w:val="00B33DD0"/>
    <w:rsid w:val="00B3446D"/>
    <w:rsid w:val="00B349C8"/>
    <w:rsid w:val="00B4319D"/>
    <w:rsid w:val="00B43847"/>
    <w:rsid w:val="00B4777F"/>
    <w:rsid w:val="00B52A56"/>
    <w:rsid w:val="00B53778"/>
    <w:rsid w:val="00B54ECE"/>
    <w:rsid w:val="00B570CF"/>
    <w:rsid w:val="00B61A8D"/>
    <w:rsid w:val="00B80CC9"/>
    <w:rsid w:val="00B839F7"/>
    <w:rsid w:val="00B90936"/>
    <w:rsid w:val="00B9099C"/>
    <w:rsid w:val="00B9133A"/>
    <w:rsid w:val="00B9144F"/>
    <w:rsid w:val="00B92F1E"/>
    <w:rsid w:val="00BA01E5"/>
    <w:rsid w:val="00BA2C13"/>
    <w:rsid w:val="00BA3D01"/>
    <w:rsid w:val="00BB45B4"/>
    <w:rsid w:val="00BC3D70"/>
    <w:rsid w:val="00BD3970"/>
    <w:rsid w:val="00BD73C8"/>
    <w:rsid w:val="00BD772A"/>
    <w:rsid w:val="00BE08C3"/>
    <w:rsid w:val="00BE3C87"/>
    <w:rsid w:val="00BF022F"/>
    <w:rsid w:val="00BF32AB"/>
    <w:rsid w:val="00BF73CA"/>
    <w:rsid w:val="00BF77C4"/>
    <w:rsid w:val="00C021F3"/>
    <w:rsid w:val="00C0260B"/>
    <w:rsid w:val="00C06AC6"/>
    <w:rsid w:val="00C11660"/>
    <w:rsid w:val="00C20681"/>
    <w:rsid w:val="00C2459F"/>
    <w:rsid w:val="00C31000"/>
    <w:rsid w:val="00C376D4"/>
    <w:rsid w:val="00C4476C"/>
    <w:rsid w:val="00C523C3"/>
    <w:rsid w:val="00C526AD"/>
    <w:rsid w:val="00C55ACB"/>
    <w:rsid w:val="00C55BDB"/>
    <w:rsid w:val="00C61B07"/>
    <w:rsid w:val="00C649F7"/>
    <w:rsid w:val="00C66B8B"/>
    <w:rsid w:val="00C66D13"/>
    <w:rsid w:val="00C72124"/>
    <w:rsid w:val="00C910B0"/>
    <w:rsid w:val="00C97CB8"/>
    <w:rsid w:val="00CA06AE"/>
    <w:rsid w:val="00CA1AE5"/>
    <w:rsid w:val="00CA29FF"/>
    <w:rsid w:val="00CA4C1E"/>
    <w:rsid w:val="00CA591D"/>
    <w:rsid w:val="00CB3271"/>
    <w:rsid w:val="00CB52EF"/>
    <w:rsid w:val="00CB5C7C"/>
    <w:rsid w:val="00CB6437"/>
    <w:rsid w:val="00CB6A79"/>
    <w:rsid w:val="00CB7B90"/>
    <w:rsid w:val="00CC1AB9"/>
    <w:rsid w:val="00CC26EF"/>
    <w:rsid w:val="00CC6BCB"/>
    <w:rsid w:val="00CE25D1"/>
    <w:rsid w:val="00CE56FE"/>
    <w:rsid w:val="00CE77D4"/>
    <w:rsid w:val="00CF6262"/>
    <w:rsid w:val="00D0284A"/>
    <w:rsid w:val="00D028FA"/>
    <w:rsid w:val="00D04238"/>
    <w:rsid w:val="00D1038E"/>
    <w:rsid w:val="00D12CDF"/>
    <w:rsid w:val="00D16FFF"/>
    <w:rsid w:val="00D17F2D"/>
    <w:rsid w:val="00D2256B"/>
    <w:rsid w:val="00D2693F"/>
    <w:rsid w:val="00D31757"/>
    <w:rsid w:val="00D34609"/>
    <w:rsid w:val="00D35995"/>
    <w:rsid w:val="00D36152"/>
    <w:rsid w:val="00D3764A"/>
    <w:rsid w:val="00D40E5B"/>
    <w:rsid w:val="00D5177C"/>
    <w:rsid w:val="00D54104"/>
    <w:rsid w:val="00D549C8"/>
    <w:rsid w:val="00D551A3"/>
    <w:rsid w:val="00D72306"/>
    <w:rsid w:val="00D74F9D"/>
    <w:rsid w:val="00D76E45"/>
    <w:rsid w:val="00D85AB2"/>
    <w:rsid w:val="00D91FC8"/>
    <w:rsid w:val="00D92C36"/>
    <w:rsid w:val="00D96426"/>
    <w:rsid w:val="00DA57A8"/>
    <w:rsid w:val="00DB038F"/>
    <w:rsid w:val="00DB1B2E"/>
    <w:rsid w:val="00DB4071"/>
    <w:rsid w:val="00DB4312"/>
    <w:rsid w:val="00DB73BB"/>
    <w:rsid w:val="00DC0275"/>
    <w:rsid w:val="00DC1E11"/>
    <w:rsid w:val="00DC4695"/>
    <w:rsid w:val="00DC54D1"/>
    <w:rsid w:val="00DC7908"/>
    <w:rsid w:val="00DD128E"/>
    <w:rsid w:val="00DD12F1"/>
    <w:rsid w:val="00DD1C1D"/>
    <w:rsid w:val="00DD5283"/>
    <w:rsid w:val="00DE074A"/>
    <w:rsid w:val="00DE10C5"/>
    <w:rsid w:val="00DE23FD"/>
    <w:rsid w:val="00DE3B23"/>
    <w:rsid w:val="00DE6BD8"/>
    <w:rsid w:val="00DF5782"/>
    <w:rsid w:val="00DF615E"/>
    <w:rsid w:val="00E04C3C"/>
    <w:rsid w:val="00E1543E"/>
    <w:rsid w:val="00E16B9B"/>
    <w:rsid w:val="00E20484"/>
    <w:rsid w:val="00E20C2F"/>
    <w:rsid w:val="00E21C37"/>
    <w:rsid w:val="00E22B73"/>
    <w:rsid w:val="00E22E69"/>
    <w:rsid w:val="00E27052"/>
    <w:rsid w:val="00E3439F"/>
    <w:rsid w:val="00E34C46"/>
    <w:rsid w:val="00E354E1"/>
    <w:rsid w:val="00E36B09"/>
    <w:rsid w:val="00E3737F"/>
    <w:rsid w:val="00E5003F"/>
    <w:rsid w:val="00E559F1"/>
    <w:rsid w:val="00E55E9F"/>
    <w:rsid w:val="00E648B2"/>
    <w:rsid w:val="00E740AE"/>
    <w:rsid w:val="00E81FAD"/>
    <w:rsid w:val="00E85204"/>
    <w:rsid w:val="00E927A6"/>
    <w:rsid w:val="00E9507D"/>
    <w:rsid w:val="00E960C4"/>
    <w:rsid w:val="00EA257C"/>
    <w:rsid w:val="00EA6783"/>
    <w:rsid w:val="00EB2459"/>
    <w:rsid w:val="00EB2A23"/>
    <w:rsid w:val="00EB41B4"/>
    <w:rsid w:val="00EB655C"/>
    <w:rsid w:val="00EC0AB2"/>
    <w:rsid w:val="00EC1563"/>
    <w:rsid w:val="00EC2353"/>
    <w:rsid w:val="00EC2613"/>
    <w:rsid w:val="00EC5C7A"/>
    <w:rsid w:val="00EC62B3"/>
    <w:rsid w:val="00ED2DBF"/>
    <w:rsid w:val="00ED56D4"/>
    <w:rsid w:val="00EE56BC"/>
    <w:rsid w:val="00EF0A23"/>
    <w:rsid w:val="00EF27E4"/>
    <w:rsid w:val="00EF3D0E"/>
    <w:rsid w:val="00F03B3C"/>
    <w:rsid w:val="00F052A1"/>
    <w:rsid w:val="00F05A21"/>
    <w:rsid w:val="00F17A9C"/>
    <w:rsid w:val="00F17C16"/>
    <w:rsid w:val="00F206FD"/>
    <w:rsid w:val="00F20D85"/>
    <w:rsid w:val="00F22158"/>
    <w:rsid w:val="00F30243"/>
    <w:rsid w:val="00F307E3"/>
    <w:rsid w:val="00F31B4D"/>
    <w:rsid w:val="00F33DB8"/>
    <w:rsid w:val="00F3620F"/>
    <w:rsid w:val="00F37A4A"/>
    <w:rsid w:val="00F45881"/>
    <w:rsid w:val="00F45EFB"/>
    <w:rsid w:val="00F548A7"/>
    <w:rsid w:val="00F5672E"/>
    <w:rsid w:val="00F56A9F"/>
    <w:rsid w:val="00F57EAF"/>
    <w:rsid w:val="00F60441"/>
    <w:rsid w:val="00F67DE3"/>
    <w:rsid w:val="00F73386"/>
    <w:rsid w:val="00F81852"/>
    <w:rsid w:val="00F82ABF"/>
    <w:rsid w:val="00F84B1E"/>
    <w:rsid w:val="00F851BB"/>
    <w:rsid w:val="00F8549C"/>
    <w:rsid w:val="00F86842"/>
    <w:rsid w:val="00F870C8"/>
    <w:rsid w:val="00F92391"/>
    <w:rsid w:val="00F96F7D"/>
    <w:rsid w:val="00FA1D72"/>
    <w:rsid w:val="00FA74A0"/>
    <w:rsid w:val="00FB6618"/>
    <w:rsid w:val="00FC2430"/>
    <w:rsid w:val="00FC2FCB"/>
    <w:rsid w:val="00FC4732"/>
    <w:rsid w:val="00FD387A"/>
    <w:rsid w:val="00FD5C95"/>
    <w:rsid w:val="00FE0D41"/>
    <w:rsid w:val="00FE4DA9"/>
    <w:rsid w:val="00FF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CD31"/>
  <w15:chartTrackingRefBased/>
  <w15:docId w15:val="{A3EF8DCB-5EA8-4270-8D64-ADCA6867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2B4"/>
  </w:style>
  <w:style w:type="paragraph" w:styleId="Heading1">
    <w:name w:val="heading 1"/>
    <w:basedOn w:val="Normal"/>
    <w:next w:val="Normal"/>
    <w:link w:val="Heading1Char"/>
    <w:uiPriority w:val="9"/>
    <w:qFormat/>
    <w:rsid w:val="002E12B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48B2"/>
    <w:pPr>
      <w:keepNext/>
      <w:keepLines/>
      <w:spacing w:before="8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2E12B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2E12B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E12B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2E12B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E12B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2E12B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2E12B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283"/>
    <w:pPr>
      <w:ind w:left="720"/>
      <w:contextualSpacing/>
    </w:pPr>
  </w:style>
  <w:style w:type="paragraph" w:styleId="BalloonText">
    <w:name w:val="Balloon Text"/>
    <w:basedOn w:val="Normal"/>
    <w:link w:val="BalloonTextChar"/>
    <w:uiPriority w:val="99"/>
    <w:semiHidden/>
    <w:unhideWhenUsed/>
    <w:rsid w:val="00F3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243"/>
    <w:rPr>
      <w:rFonts w:ascii="Segoe UI" w:hAnsi="Segoe UI" w:cs="Segoe UI"/>
      <w:sz w:val="18"/>
      <w:szCs w:val="18"/>
    </w:rPr>
  </w:style>
  <w:style w:type="character" w:styleId="CommentReference">
    <w:name w:val="annotation reference"/>
    <w:basedOn w:val="DefaultParagraphFont"/>
    <w:uiPriority w:val="99"/>
    <w:semiHidden/>
    <w:unhideWhenUsed/>
    <w:rsid w:val="0060224A"/>
    <w:rPr>
      <w:sz w:val="16"/>
      <w:szCs w:val="16"/>
    </w:rPr>
  </w:style>
  <w:style w:type="paragraph" w:styleId="CommentText">
    <w:name w:val="annotation text"/>
    <w:basedOn w:val="Normal"/>
    <w:link w:val="CommentTextChar"/>
    <w:uiPriority w:val="99"/>
    <w:unhideWhenUsed/>
    <w:rsid w:val="0060224A"/>
    <w:pPr>
      <w:spacing w:line="240" w:lineRule="auto"/>
    </w:pPr>
  </w:style>
  <w:style w:type="character" w:customStyle="1" w:styleId="CommentTextChar">
    <w:name w:val="Comment Text Char"/>
    <w:basedOn w:val="DefaultParagraphFont"/>
    <w:link w:val="CommentText"/>
    <w:uiPriority w:val="99"/>
    <w:rsid w:val="0060224A"/>
    <w:rPr>
      <w:sz w:val="20"/>
      <w:szCs w:val="20"/>
    </w:rPr>
  </w:style>
  <w:style w:type="paragraph" w:styleId="CommentSubject">
    <w:name w:val="annotation subject"/>
    <w:basedOn w:val="CommentText"/>
    <w:next w:val="CommentText"/>
    <w:link w:val="CommentSubjectChar"/>
    <w:uiPriority w:val="99"/>
    <w:semiHidden/>
    <w:unhideWhenUsed/>
    <w:rsid w:val="0060224A"/>
    <w:rPr>
      <w:b/>
      <w:bCs/>
    </w:rPr>
  </w:style>
  <w:style w:type="character" w:customStyle="1" w:styleId="CommentSubjectChar">
    <w:name w:val="Comment Subject Char"/>
    <w:basedOn w:val="CommentTextChar"/>
    <w:link w:val="CommentSubject"/>
    <w:uiPriority w:val="99"/>
    <w:semiHidden/>
    <w:rsid w:val="0060224A"/>
    <w:rPr>
      <w:b/>
      <w:bCs/>
      <w:sz w:val="20"/>
      <w:szCs w:val="20"/>
    </w:rPr>
  </w:style>
  <w:style w:type="paragraph" w:styleId="Header">
    <w:name w:val="header"/>
    <w:basedOn w:val="Normal"/>
    <w:link w:val="HeaderChar"/>
    <w:uiPriority w:val="99"/>
    <w:unhideWhenUsed/>
    <w:rsid w:val="009D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A07"/>
  </w:style>
  <w:style w:type="paragraph" w:styleId="Footer">
    <w:name w:val="footer"/>
    <w:basedOn w:val="Normal"/>
    <w:link w:val="FooterChar"/>
    <w:uiPriority w:val="99"/>
    <w:unhideWhenUsed/>
    <w:rsid w:val="009D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A07"/>
  </w:style>
  <w:style w:type="character" w:customStyle="1" w:styleId="Heading1Char">
    <w:name w:val="Heading 1 Char"/>
    <w:basedOn w:val="DefaultParagraphFont"/>
    <w:link w:val="Heading1"/>
    <w:uiPriority w:val="9"/>
    <w:rsid w:val="002E12B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648B2"/>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2E12B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2E12B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E12B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2E12B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E12B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2E12B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2E12B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2E12B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E12B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2E12B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2E12B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2B4"/>
    <w:rPr>
      <w:rFonts w:asciiTheme="majorHAnsi" w:eastAsiaTheme="majorEastAsia" w:hAnsiTheme="majorHAnsi" w:cstheme="majorBidi"/>
      <w:sz w:val="24"/>
      <w:szCs w:val="24"/>
    </w:rPr>
  </w:style>
  <w:style w:type="character" w:styleId="Strong">
    <w:name w:val="Strong"/>
    <w:basedOn w:val="DefaultParagraphFont"/>
    <w:uiPriority w:val="22"/>
    <w:qFormat/>
    <w:rsid w:val="002E12B4"/>
    <w:rPr>
      <w:b/>
      <w:bCs/>
    </w:rPr>
  </w:style>
  <w:style w:type="character" w:styleId="Emphasis">
    <w:name w:val="Emphasis"/>
    <w:basedOn w:val="DefaultParagraphFont"/>
    <w:uiPriority w:val="20"/>
    <w:qFormat/>
    <w:rsid w:val="002E12B4"/>
    <w:rPr>
      <w:i/>
      <w:iCs/>
    </w:rPr>
  </w:style>
  <w:style w:type="paragraph" w:styleId="NoSpacing">
    <w:name w:val="No Spacing"/>
    <w:uiPriority w:val="1"/>
    <w:qFormat/>
    <w:rsid w:val="002E12B4"/>
    <w:pPr>
      <w:spacing w:after="0" w:line="240" w:lineRule="auto"/>
    </w:pPr>
  </w:style>
  <w:style w:type="paragraph" w:styleId="Quote">
    <w:name w:val="Quote"/>
    <w:basedOn w:val="Normal"/>
    <w:next w:val="Normal"/>
    <w:link w:val="QuoteChar"/>
    <w:uiPriority w:val="29"/>
    <w:qFormat/>
    <w:rsid w:val="002E12B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E12B4"/>
    <w:rPr>
      <w:i/>
      <w:iCs/>
      <w:color w:val="404040" w:themeColor="text1" w:themeTint="BF"/>
    </w:rPr>
  </w:style>
  <w:style w:type="paragraph" w:styleId="IntenseQuote">
    <w:name w:val="Intense Quote"/>
    <w:basedOn w:val="Normal"/>
    <w:next w:val="Normal"/>
    <w:link w:val="IntenseQuoteChar"/>
    <w:uiPriority w:val="30"/>
    <w:qFormat/>
    <w:rsid w:val="002E12B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E12B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E12B4"/>
    <w:rPr>
      <w:i/>
      <w:iCs/>
      <w:color w:val="404040" w:themeColor="text1" w:themeTint="BF"/>
    </w:rPr>
  </w:style>
  <w:style w:type="character" w:styleId="IntenseEmphasis">
    <w:name w:val="Intense Emphasis"/>
    <w:basedOn w:val="DefaultParagraphFont"/>
    <w:uiPriority w:val="21"/>
    <w:qFormat/>
    <w:rsid w:val="002E12B4"/>
    <w:rPr>
      <w:b/>
      <w:bCs/>
      <w:i/>
      <w:iCs/>
    </w:rPr>
  </w:style>
  <w:style w:type="character" w:styleId="SubtleReference">
    <w:name w:val="Subtle Reference"/>
    <w:basedOn w:val="DefaultParagraphFont"/>
    <w:uiPriority w:val="31"/>
    <w:qFormat/>
    <w:rsid w:val="002E12B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E12B4"/>
    <w:rPr>
      <w:b/>
      <w:bCs/>
      <w:smallCaps/>
      <w:spacing w:val="5"/>
      <w:u w:val="single"/>
    </w:rPr>
  </w:style>
  <w:style w:type="character" w:styleId="BookTitle">
    <w:name w:val="Book Title"/>
    <w:basedOn w:val="DefaultParagraphFont"/>
    <w:uiPriority w:val="33"/>
    <w:qFormat/>
    <w:rsid w:val="002E12B4"/>
    <w:rPr>
      <w:b/>
      <w:bCs/>
      <w:smallCaps/>
    </w:rPr>
  </w:style>
  <w:style w:type="paragraph" w:styleId="TOCHeading">
    <w:name w:val="TOC Heading"/>
    <w:basedOn w:val="Heading1"/>
    <w:next w:val="Normal"/>
    <w:uiPriority w:val="39"/>
    <w:semiHidden/>
    <w:unhideWhenUsed/>
    <w:qFormat/>
    <w:rsid w:val="002E12B4"/>
    <w:pPr>
      <w:outlineLvl w:val="9"/>
    </w:pPr>
  </w:style>
  <w:style w:type="paragraph" w:styleId="Revision">
    <w:name w:val="Revision"/>
    <w:hidden/>
    <w:uiPriority w:val="99"/>
    <w:semiHidden/>
    <w:rsid w:val="001B072B"/>
    <w:pPr>
      <w:spacing w:after="0" w:line="240" w:lineRule="auto"/>
    </w:pPr>
  </w:style>
  <w:style w:type="character" w:customStyle="1" w:styleId="normaltextrun">
    <w:name w:val="normaltextrun"/>
    <w:basedOn w:val="DefaultParagraphFont"/>
    <w:rsid w:val="00DC7908"/>
  </w:style>
  <w:style w:type="character" w:customStyle="1" w:styleId="eop">
    <w:name w:val="eop"/>
    <w:basedOn w:val="DefaultParagraphFont"/>
    <w:rsid w:val="00DC7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4830</Words>
  <Characters>27533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32299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Rosquist, Will</dc:creator>
  <cp:keywords/>
  <dc:description/>
  <cp:lastModifiedBy>Rosquist, Will</cp:lastModifiedBy>
  <cp:revision>3</cp:revision>
  <cp:lastPrinted>2022-05-12T15:57:00Z</cp:lastPrinted>
  <dcterms:created xsi:type="dcterms:W3CDTF">2024-01-04T13:49:00Z</dcterms:created>
  <dcterms:modified xsi:type="dcterms:W3CDTF">2024-01-04T14:13:00Z</dcterms:modified>
</cp:coreProperties>
</file>